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89E92" w14:textId="2B994118" w:rsidR="00CD060D" w:rsidRDefault="00681971" w:rsidP="000F0BEC">
      <w:r w:rsidRPr="00585F6F">
        <w:rPr>
          <w:noProof/>
          <w:lang w:eastAsia="en-GB"/>
        </w:rPr>
        <w:drawing>
          <wp:anchor distT="0" distB="0" distL="114300" distR="114300" simplePos="0" relativeHeight="251656704" behindDoc="1" locked="0" layoutInCell="1" allowOverlap="1" wp14:anchorId="7F7DBBCF" wp14:editId="50376490">
            <wp:simplePos x="0" y="0"/>
            <wp:positionH relativeFrom="page">
              <wp:posOffset>4830926</wp:posOffset>
            </wp:positionH>
            <wp:positionV relativeFrom="page">
              <wp:posOffset>350454</wp:posOffset>
            </wp:positionV>
            <wp:extent cx="2537460" cy="8381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 - A4 Report Cover Template Portrait.eps"/>
                    <pic:cNvPicPr/>
                  </pic:nvPicPr>
                  <pic:blipFill rotWithShape="1">
                    <a:blip r:embed="rId8">
                      <a:extLst>
                        <a:ext uri="{28A0092B-C50C-407E-A947-70E740481C1C}">
                          <a14:useLocalDpi xmlns:a14="http://schemas.microsoft.com/office/drawing/2010/main" val="0"/>
                        </a:ext>
                      </a:extLst>
                    </a:blip>
                    <a:srcRect l="63818" t="2649" r="2593" b="89512"/>
                    <a:stretch/>
                  </pic:blipFill>
                  <pic:spPr bwMode="auto">
                    <a:xfrm>
                      <a:off x="0" y="0"/>
                      <a:ext cx="2537460" cy="8381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2805F805" w14:textId="77777777" w:rsidR="00477FBD" w:rsidRPr="00477FBD" w:rsidRDefault="00477FBD" w:rsidP="00477FBD">
      <w:pPr>
        <w:rPr>
          <w:rStyle w:val="Heading1Char"/>
          <w:color w:val="375F3E"/>
          <w:sz w:val="24"/>
          <w:szCs w:val="24"/>
        </w:rPr>
      </w:pPr>
      <w:bookmarkStart w:id="0" w:name="_Toc2456717"/>
      <w:bookmarkStart w:id="1" w:name="_Toc8120865"/>
      <w:bookmarkStart w:id="2" w:name="_Toc12477537"/>
    </w:p>
    <w:p w14:paraId="3BE5EA52" w14:textId="1338CB1C" w:rsidR="00670600" w:rsidRPr="00477FBD" w:rsidRDefault="002838AD" w:rsidP="00477FBD">
      <w:pPr>
        <w:pStyle w:val="Title"/>
        <w:rPr>
          <w:rStyle w:val="Heading1Char"/>
          <w:color w:val="375F3E"/>
          <w:sz w:val="40"/>
          <w:szCs w:val="40"/>
        </w:rPr>
      </w:pPr>
      <w:r w:rsidRPr="00477FBD">
        <w:rPr>
          <w:rStyle w:val="Heading1Char"/>
          <w:color w:val="375F3E"/>
          <w:sz w:val="40"/>
          <w:szCs w:val="40"/>
        </w:rPr>
        <w:t xml:space="preserve">Inpatient Admissions of </w:t>
      </w:r>
      <w:r w:rsidR="003A4A59" w:rsidRPr="00477FBD">
        <w:rPr>
          <w:rStyle w:val="Heading1Char"/>
          <w:color w:val="375F3E"/>
          <w:sz w:val="40"/>
          <w:szCs w:val="40"/>
        </w:rPr>
        <w:t xml:space="preserve">People with Learning Disabilities </w:t>
      </w:r>
      <w:r w:rsidRPr="00477FBD">
        <w:rPr>
          <w:rStyle w:val="Heading1Char"/>
          <w:color w:val="375F3E"/>
          <w:sz w:val="40"/>
          <w:szCs w:val="40"/>
        </w:rPr>
        <w:t>and/or Autistic People and</w:t>
      </w:r>
      <w:r w:rsidR="00266B18" w:rsidRPr="00477FBD">
        <w:rPr>
          <w:rStyle w:val="Heading1Char"/>
          <w:color w:val="375F3E"/>
          <w:sz w:val="40"/>
          <w:szCs w:val="40"/>
        </w:rPr>
        <w:t xml:space="preserve"> </w:t>
      </w:r>
      <w:r w:rsidR="00955C83">
        <w:rPr>
          <w:rStyle w:val="Heading1Char"/>
          <w:color w:val="375F3E"/>
          <w:sz w:val="40"/>
          <w:szCs w:val="40"/>
        </w:rPr>
        <w:t>A</w:t>
      </w:r>
      <w:r w:rsidRPr="00477FBD">
        <w:rPr>
          <w:rStyle w:val="Heading1Char"/>
          <w:color w:val="375F3E"/>
          <w:sz w:val="40"/>
          <w:szCs w:val="40"/>
        </w:rPr>
        <w:t xml:space="preserve">ttempts to </w:t>
      </w:r>
      <w:r w:rsidR="00266B18" w:rsidRPr="00477FBD">
        <w:rPr>
          <w:rStyle w:val="Heading1Char"/>
          <w:color w:val="375F3E"/>
          <w:sz w:val="40"/>
          <w:szCs w:val="40"/>
        </w:rPr>
        <w:t>Transform Care in England</w:t>
      </w:r>
      <w:bookmarkEnd w:id="0"/>
      <w:bookmarkEnd w:id="1"/>
      <w:bookmarkEnd w:id="2"/>
    </w:p>
    <w:p w14:paraId="7E5B23C0" w14:textId="6C69C90A" w:rsidR="00CD060D" w:rsidRPr="00585F6F" w:rsidRDefault="00477FBD" w:rsidP="00477FBD">
      <w:pPr>
        <w:spacing w:after="0"/>
        <w:jc w:val="center"/>
      </w:pPr>
      <w:r w:rsidRPr="00477FBD">
        <w:rPr>
          <w:noProof/>
          <w:lang w:eastAsia="en-GB"/>
        </w:rPr>
        <w:drawing>
          <wp:inline distT="0" distB="0" distL="0" distR="0" wp14:anchorId="5920006C" wp14:editId="34E21ED7">
            <wp:extent cx="3578773" cy="4752332"/>
            <wp:effectExtent l="0" t="0" r="3175" b="0"/>
            <wp:docPr id="5" name="Picture 5" descr="Large number of brown luggage labels (with unreadable tex) pinned to wasitcoat. Artist P Yu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mingr\AppData\Local\Microsoft\Windows\INetCache\Content.Outlook\4A0MFX8B\COC-Close up.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703" r="2104" b="1118"/>
                    <a:stretch/>
                  </pic:blipFill>
                  <pic:spPr bwMode="auto">
                    <a:xfrm>
                      <a:off x="0" y="0"/>
                      <a:ext cx="3625615" cy="4814535"/>
                    </a:xfrm>
                    <a:prstGeom prst="rect">
                      <a:avLst/>
                    </a:prstGeom>
                    <a:noFill/>
                    <a:ln>
                      <a:noFill/>
                    </a:ln>
                    <a:extLst>
                      <a:ext uri="{53640926-AAD7-44D8-BBD7-CCE9431645EC}">
                        <a14:shadowObscured xmlns:a14="http://schemas.microsoft.com/office/drawing/2010/main"/>
                      </a:ext>
                    </a:extLst>
                  </pic:spPr>
                </pic:pic>
              </a:graphicData>
            </a:graphic>
          </wp:inline>
        </w:drawing>
      </w:r>
    </w:p>
    <w:p w14:paraId="496B9E18" w14:textId="495A32E1" w:rsidR="00CD060D" w:rsidRPr="00477FBD" w:rsidRDefault="00CD060D" w:rsidP="00D80F6B">
      <w:pPr>
        <w:pStyle w:val="Heading2"/>
        <w:rPr>
          <w:sz w:val="24"/>
          <w:szCs w:val="24"/>
        </w:rPr>
      </w:pPr>
      <w:bookmarkStart w:id="3" w:name="_Toc12477538"/>
      <w:r w:rsidRPr="00477FBD">
        <w:rPr>
          <w:sz w:val="24"/>
          <w:szCs w:val="24"/>
        </w:rPr>
        <w:t>Mark Brown, Elaine James</w:t>
      </w:r>
      <w:r w:rsidR="003B476A" w:rsidRPr="00477FBD">
        <w:rPr>
          <w:sz w:val="24"/>
          <w:szCs w:val="24"/>
        </w:rPr>
        <w:t xml:space="preserve"> and </w:t>
      </w:r>
      <w:r w:rsidRPr="00477FBD">
        <w:rPr>
          <w:sz w:val="24"/>
          <w:szCs w:val="24"/>
        </w:rPr>
        <w:t>Chris Hatton</w:t>
      </w:r>
      <w:bookmarkEnd w:id="3"/>
      <w:r w:rsidR="003B476A" w:rsidRPr="00477FBD">
        <w:rPr>
          <w:sz w:val="24"/>
          <w:szCs w:val="24"/>
        </w:rPr>
        <w:t xml:space="preserve"> </w:t>
      </w:r>
    </w:p>
    <w:p w14:paraId="409CCA8C" w14:textId="09DE71B2" w:rsidR="00003733" w:rsidRPr="00477FBD" w:rsidRDefault="00CD060D" w:rsidP="00D80F6B">
      <w:pPr>
        <w:pStyle w:val="Heading2"/>
        <w:rPr>
          <w:sz w:val="24"/>
          <w:szCs w:val="24"/>
        </w:rPr>
      </w:pPr>
      <w:bookmarkStart w:id="4" w:name="_Toc12477539"/>
      <w:r w:rsidRPr="00477FBD">
        <w:rPr>
          <w:sz w:val="24"/>
          <w:szCs w:val="24"/>
        </w:rPr>
        <w:t>Series Editor: Hannah Morgan</w:t>
      </w:r>
      <w:bookmarkEnd w:id="4"/>
    </w:p>
    <w:p w14:paraId="7E0EBBC1" w14:textId="6BDC19B4" w:rsidR="00477FBD" w:rsidRPr="009540F6" w:rsidRDefault="00477FBD" w:rsidP="009540F6">
      <w:pPr>
        <w:jc w:val="right"/>
        <w:rPr>
          <w:color w:val="375F3E"/>
        </w:rPr>
        <w:sectPr w:rsidR="00477FBD" w:rsidRPr="009540F6" w:rsidSect="00477FBD">
          <w:headerReference w:type="default" r:id="rId10"/>
          <w:footerReference w:type="even" r:id="rId11"/>
          <w:footerReference w:type="default" r:id="rId12"/>
          <w:footerReference w:type="first" r:id="rId13"/>
          <w:pgSz w:w="11906" w:h="16838"/>
          <w:pgMar w:top="1440" w:right="1440" w:bottom="1440" w:left="1440" w:header="708" w:footer="1506" w:gutter="0"/>
          <w:pgNumType w:start="1"/>
          <w:cols w:space="708"/>
          <w:titlePg/>
          <w:docGrid w:linePitch="381"/>
        </w:sectPr>
      </w:pPr>
      <w:r w:rsidRPr="00B15533">
        <w:rPr>
          <w:color w:val="375F3E"/>
        </w:rPr>
        <w:t>CeDR Briefing Paper 2019:1</w:t>
      </w:r>
    </w:p>
    <w:p w14:paraId="74483DF1" w14:textId="77777777" w:rsidR="00003733" w:rsidRPr="000F0BEC" w:rsidRDefault="00761F4A" w:rsidP="000F0BEC">
      <w:r w:rsidRPr="000F0BEC">
        <w:lastRenderedPageBreak/>
        <w:t>B</w:t>
      </w:r>
      <w:r w:rsidR="00003733" w:rsidRPr="000F0BEC">
        <w:t>rown,</w:t>
      </w:r>
      <w:r w:rsidR="00554DA8" w:rsidRPr="000F0BEC">
        <w:t xml:space="preserve"> </w:t>
      </w:r>
      <w:r w:rsidR="00003733" w:rsidRPr="000F0BEC">
        <w:t>M</w:t>
      </w:r>
      <w:r w:rsidR="00554DA8" w:rsidRPr="000F0BEC">
        <w:t>.</w:t>
      </w:r>
      <w:r w:rsidR="00003733" w:rsidRPr="000F0BEC">
        <w:t xml:space="preserve">, </w:t>
      </w:r>
      <w:r w:rsidRPr="000F0BEC">
        <w:t>James, E.</w:t>
      </w:r>
      <w:r w:rsidR="003B476A" w:rsidRPr="000F0BEC">
        <w:t xml:space="preserve"> and</w:t>
      </w:r>
      <w:r w:rsidRPr="000F0BEC">
        <w:t xml:space="preserve"> Hatton, C</w:t>
      </w:r>
      <w:r w:rsidR="00554DA8" w:rsidRPr="000F0BEC">
        <w:t>.</w:t>
      </w:r>
      <w:r w:rsidRPr="000F0BEC">
        <w:t xml:space="preserve"> (201</w:t>
      </w:r>
      <w:r w:rsidR="00554DA8" w:rsidRPr="000F0BEC">
        <w:t>9</w:t>
      </w:r>
      <w:r w:rsidRPr="000F0BEC">
        <w:t xml:space="preserve">) </w:t>
      </w:r>
      <w:r w:rsidR="00554DA8" w:rsidRPr="000F0BEC">
        <w:rPr>
          <w:b/>
        </w:rPr>
        <w:t>Is Care Transformed? A Review of Transforming Care in England</w:t>
      </w:r>
      <w:r w:rsidRPr="000F0BEC">
        <w:t xml:space="preserve"> Lancaster: Centre for Disability Research.</w:t>
      </w:r>
    </w:p>
    <w:p w14:paraId="127D4D0D" w14:textId="77777777" w:rsidR="00003733" w:rsidRPr="000F0BEC" w:rsidRDefault="00003733" w:rsidP="000F0BEC">
      <w:r w:rsidRPr="000F0BEC">
        <w:t xml:space="preserve">The Centre for Disability Research (CeDR) is a specialist research grouping that promotes and conducts high quality interdisciplinary research and research-led teaching about disability. CeDR publishes a range of working, briefing and position papers as well as research reports, summaries and other resources </w:t>
      </w:r>
    </w:p>
    <w:p w14:paraId="6C01A0FF" w14:textId="3000C496" w:rsidR="00003733" w:rsidRDefault="00003733" w:rsidP="000F0BEC"/>
    <w:p w14:paraId="288282B7" w14:textId="77777777" w:rsidR="0041547C" w:rsidRPr="000F0BEC" w:rsidRDefault="0041547C" w:rsidP="000F0BEC"/>
    <w:p w14:paraId="30AF88AD" w14:textId="77777777" w:rsidR="009A0B62" w:rsidRPr="000F0BEC" w:rsidRDefault="00003733" w:rsidP="000F0BEC">
      <w:r w:rsidRPr="000F0BEC">
        <w:t>Series Editor: Hannah Morgan, Director, CeDR, Lancaster University</w:t>
      </w:r>
    </w:p>
    <w:p w14:paraId="5281BAED" w14:textId="77777777" w:rsidR="0087530B" w:rsidRDefault="0087530B" w:rsidP="000F0BEC"/>
    <w:p w14:paraId="6AF45AA8" w14:textId="6C06FA3C" w:rsidR="007C37EB" w:rsidRDefault="0087530B" w:rsidP="000F0BEC">
      <w:pPr>
        <w:rPr>
          <w:rStyle w:val="Hyperlink"/>
          <w:rFonts w:ascii="Calibri" w:hAnsi="Calibri" w:cs="Calibri"/>
          <w:sz w:val="22"/>
          <w:szCs w:val="22"/>
        </w:rPr>
      </w:pPr>
      <w:r>
        <w:t xml:space="preserve">A PDF version of this report can be downloaded at </w:t>
      </w:r>
      <w:hyperlink r:id="rId14" w:history="1">
        <w:r>
          <w:rPr>
            <w:rStyle w:val="Hyperlink"/>
            <w:rFonts w:ascii="Calibri" w:hAnsi="Calibri" w:cs="Calibri"/>
            <w:sz w:val="22"/>
            <w:szCs w:val="22"/>
          </w:rPr>
          <w:t>http://bit.ly/InpatientAdmissions</w:t>
        </w:r>
      </w:hyperlink>
    </w:p>
    <w:p w14:paraId="360C909F" w14:textId="77777777" w:rsidR="00EB0F29" w:rsidRDefault="00EB0F29" w:rsidP="00EB0F29">
      <w:pPr>
        <w:rPr>
          <w:i/>
        </w:rPr>
      </w:pPr>
    </w:p>
    <w:p w14:paraId="2A6B336B" w14:textId="609EA8D3" w:rsidR="00C805C4" w:rsidRDefault="00C805C4" w:rsidP="000F0BEC">
      <w:r w:rsidRPr="00EB0F29">
        <w:rPr>
          <w:i/>
        </w:rPr>
        <w:t xml:space="preserve">Cover picture </w:t>
      </w:r>
      <w:r w:rsidR="006239C1" w:rsidRPr="00EB0F29">
        <w:rPr>
          <w:i/>
        </w:rPr>
        <w:t xml:space="preserve">used with permission of </w:t>
      </w:r>
      <w:r w:rsidRPr="00EB0F29">
        <w:rPr>
          <w:i/>
        </w:rPr>
        <w:t>P Yusuf</w:t>
      </w:r>
    </w:p>
    <w:p w14:paraId="1F5E1C2B" w14:textId="77777777" w:rsidR="00C805C4" w:rsidRPr="000F0BEC" w:rsidRDefault="00C805C4" w:rsidP="000F0BEC">
      <w:pPr>
        <w:sectPr w:rsidR="00C805C4" w:rsidRPr="000F0BEC" w:rsidSect="00EB0F29">
          <w:footerReference w:type="first" r:id="rId15"/>
          <w:pgSz w:w="11906" w:h="16838"/>
          <w:pgMar w:top="9356" w:right="1440" w:bottom="1440" w:left="1440" w:header="708" w:footer="708" w:gutter="0"/>
          <w:pgNumType w:start="1"/>
          <w:cols w:space="708"/>
          <w:titlePg/>
          <w:docGrid w:linePitch="381"/>
        </w:sectPr>
      </w:pPr>
    </w:p>
    <w:p w14:paraId="724A2071" w14:textId="45FA29BF" w:rsidR="00585C95" w:rsidRPr="000F0BEC" w:rsidRDefault="00C83AC5" w:rsidP="00B12F43">
      <w:pPr>
        <w:pStyle w:val="Heading1"/>
      </w:pPr>
      <w:bookmarkStart w:id="5" w:name="_Toc2456719"/>
      <w:bookmarkStart w:id="6" w:name="_Toc12477541"/>
      <w:r w:rsidRPr="000F0BEC">
        <w:lastRenderedPageBreak/>
        <w:t>Accessible</w:t>
      </w:r>
      <w:r w:rsidR="00585C95" w:rsidRPr="000F0BEC">
        <w:t xml:space="preserve"> Summary and Key Findings</w:t>
      </w:r>
      <w:bookmarkEnd w:id="5"/>
      <w:bookmarkEnd w:id="6"/>
    </w:p>
    <w:p w14:paraId="3835D11F" w14:textId="3B1E7E2B" w:rsidR="00585C95" w:rsidRPr="001978AA" w:rsidRDefault="00585C95" w:rsidP="000F0BEC">
      <w:r w:rsidRPr="001978AA">
        <w:t xml:space="preserve">The </w:t>
      </w:r>
      <w:r w:rsidR="00A860E0">
        <w:t xml:space="preserve">UK </w:t>
      </w:r>
      <w:r w:rsidRPr="001978AA">
        <w:t xml:space="preserve">government policy </w:t>
      </w:r>
      <w:r w:rsidR="00C83AC5">
        <w:t xml:space="preserve">of </w:t>
      </w:r>
      <w:r w:rsidRPr="00F06042">
        <w:rPr>
          <w:i/>
        </w:rPr>
        <w:t>Building the Right Support</w:t>
      </w:r>
      <w:r w:rsidR="00C83AC5">
        <w:t xml:space="preserve"> in England</w:t>
      </w:r>
      <w:r w:rsidRPr="001978AA">
        <w:t xml:space="preserve"> was launched in 2015 as part of Transforming Care. Transforming Care is the policy agenda set up to get people out of inpatient hospitals after the scandal at Winterbourne View.</w:t>
      </w:r>
    </w:p>
    <w:p w14:paraId="03A47120" w14:textId="43F4904F" w:rsidR="00585C95" w:rsidRPr="001978AA" w:rsidRDefault="00585C95" w:rsidP="000F0BEC">
      <w:r w:rsidRPr="001978AA">
        <w:t xml:space="preserve">This report looks at </w:t>
      </w:r>
      <w:r w:rsidR="00112DA0" w:rsidRPr="001978AA">
        <w:t xml:space="preserve">Transforming Care and </w:t>
      </w:r>
      <w:r w:rsidR="00112DA0" w:rsidRPr="00F06042">
        <w:rPr>
          <w:i/>
        </w:rPr>
        <w:t>Building the Right Support</w:t>
      </w:r>
      <w:r w:rsidRPr="001978AA">
        <w:t xml:space="preserve"> and gives an overview of what we think has worked and what has</w:t>
      </w:r>
      <w:r w:rsidR="006214A2">
        <w:t xml:space="preserve"> not</w:t>
      </w:r>
      <w:r w:rsidR="00A860E0">
        <w:t xml:space="preserve"> worked</w:t>
      </w:r>
      <w:r w:rsidRPr="001978AA">
        <w:t xml:space="preserve">. </w:t>
      </w:r>
    </w:p>
    <w:p w14:paraId="56948A74" w14:textId="77777777" w:rsidR="00585C95" w:rsidRPr="001978AA" w:rsidRDefault="00585C95" w:rsidP="000F0BEC">
      <w:r w:rsidRPr="001978AA">
        <w:t xml:space="preserve">It takes information from Transforming Care Implementation Plans, Freedom of Information requests, Assuring Transformation data about the numbers of people in in-patient hospitals and information from evaluations commissioned by NHS England. </w:t>
      </w:r>
    </w:p>
    <w:p w14:paraId="1B9055F7" w14:textId="1F6F604F" w:rsidR="00585C95" w:rsidRPr="001978AA" w:rsidRDefault="0060095C" w:rsidP="000F0BEC">
      <w:r w:rsidRPr="001978AA">
        <w:t xml:space="preserve">The government set a target to reduce by over a third the number of </w:t>
      </w:r>
      <w:r w:rsidR="00F06042">
        <w:t xml:space="preserve">people with learning disabilities </w:t>
      </w:r>
      <w:r w:rsidRPr="001978AA">
        <w:t>people in hospitals</w:t>
      </w:r>
      <w:r w:rsidR="0015536C">
        <w:t>,</w:t>
      </w:r>
      <w:r w:rsidR="0015536C" w:rsidRPr="0015536C">
        <w:t xml:space="preserve"> </w:t>
      </w:r>
      <w:r w:rsidR="0015536C" w:rsidRPr="001978AA">
        <w:t>by March 2019</w:t>
      </w:r>
      <w:r w:rsidRPr="001978AA">
        <w:t xml:space="preserve">.  This target </w:t>
      </w:r>
      <w:r w:rsidR="0015536C">
        <w:t>has</w:t>
      </w:r>
      <w:r w:rsidR="0015536C" w:rsidRPr="001978AA">
        <w:t xml:space="preserve"> </w:t>
      </w:r>
      <w:r w:rsidRPr="001978AA">
        <w:t xml:space="preserve">not </w:t>
      </w:r>
      <w:r w:rsidR="0015536C">
        <w:t xml:space="preserve">been </w:t>
      </w:r>
      <w:r w:rsidRPr="001978AA">
        <w:t>met.</w:t>
      </w:r>
    </w:p>
    <w:p w14:paraId="6C222A33" w14:textId="395A0A6E" w:rsidR="0060095C" w:rsidRPr="001978AA" w:rsidRDefault="0060095C" w:rsidP="000F0BEC">
      <w:r w:rsidRPr="001978AA">
        <w:t>The government and NHS England have said that the number of people in in-patient hospitals ha</w:t>
      </w:r>
      <w:r w:rsidR="0015536C">
        <w:t>s</w:t>
      </w:r>
      <w:r w:rsidRPr="001978AA">
        <w:t xml:space="preserve"> gone down by almost 20%. We think th</w:t>
      </w:r>
      <w:r w:rsidR="0015536C">
        <w:t>is</w:t>
      </w:r>
      <w:r w:rsidRPr="001978AA">
        <w:t xml:space="preserve"> is wrong and the number of people in in-patient hospitals has </w:t>
      </w:r>
      <w:r w:rsidR="0015536C">
        <w:t xml:space="preserve">actually </w:t>
      </w:r>
      <w:r w:rsidRPr="001978AA">
        <w:t>gone down by 1</w:t>
      </w:r>
      <w:r w:rsidR="00330473">
        <w:t>4</w:t>
      </w:r>
      <w:r w:rsidRPr="001978AA">
        <w:t xml:space="preserve">%. </w:t>
      </w:r>
    </w:p>
    <w:p w14:paraId="0B3EA5B2" w14:textId="242A03AC" w:rsidR="00585C95" w:rsidRPr="001978AA" w:rsidRDefault="0060095C" w:rsidP="000F0BEC">
      <w:r w:rsidRPr="001978AA">
        <w:t>Local health and social care partnerships</w:t>
      </w:r>
      <w:r w:rsidR="00585C95" w:rsidRPr="001978AA">
        <w:t xml:space="preserve"> asked the government for over £85 million so that they could change the way they are doing things and get people out of hospital. </w:t>
      </w:r>
    </w:p>
    <w:p w14:paraId="7D6763A5" w14:textId="4C3DE1C6" w:rsidR="00585C95" w:rsidRPr="001978AA" w:rsidRDefault="00585C95" w:rsidP="000F0BEC">
      <w:r w:rsidRPr="001978AA">
        <w:t xml:space="preserve">Most of them </w:t>
      </w:r>
      <w:r w:rsidR="006214A2">
        <w:t>did not</w:t>
      </w:r>
      <w:r w:rsidRPr="001978AA">
        <w:t xml:space="preserve"> get the money that they asked for. We think that this had a negative effect on their ability to implement </w:t>
      </w:r>
      <w:r w:rsidRPr="008B2750">
        <w:rPr>
          <w:i/>
        </w:rPr>
        <w:t>Building the Right Support</w:t>
      </w:r>
      <w:r w:rsidRPr="001978AA">
        <w:t xml:space="preserve">. </w:t>
      </w:r>
    </w:p>
    <w:p w14:paraId="36A70136" w14:textId="20A83EB9" w:rsidR="00585C95" w:rsidRPr="00681971" w:rsidRDefault="00585C95" w:rsidP="000F0BEC">
      <w:r w:rsidRPr="00681971">
        <w:t xml:space="preserve">In the evaluations commissioned by NHS England people said that </w:t>
      </w:r>
      <w:r w:rsidRPr="008B2750">
        <w:rPr>
          <w:i/>
        </w:rPr>
        <w:t>Building the Right Support</w:t>
      </w:r>
      <w:r w:rsidRPr="00681971">
        <w:t xml:space="preserve"> is a good policy with lots of positive parts to it</w:t>
      </w:r>
      <w:r w:rsidR="0015536C" w:rsidRPr="00681971">
        <w:t>,</w:t>
      </w:r>
      <w:r w:rsidRPr="00681971">
        <w:t xml:space="preserve"> but that there had been some difficulties in making it work. </w:t>
      </w:r>
    </w:p>
    <w:p w14:paraId="3FE63343" w14:textId="2A4BB651" w:rsidR="00585C95" w:rsidRPr="001978AA" w:rsidRDefault="00482ABC" w:rsidP="000F0BEC">
      <w:r>
        <w:rPr>
          <w:lang w:eastAsia="en-GB"/>
        </w:rPr>
        <w:t xml:space="preserve">People with learning disabilities </w:t>
      </w:r>
      <w:r w:rsidR="00C83AC5">
        <w:t>and autistic p</w:t>
      </w:r>
      <w:r w:rsidR="00585C95" w:rsidRPr="001978AA">
        <w:t>eople</w:t>
      </w:r>
      <w:r w:rsidR="00C83AC5">
        <w:t xml:space="preserve"> and their families who have had a</w:t>
      </w:r>
      <w:r w:rsidR="00585C95" w:rsidRPr="001978AA">
        <w:t xml:space="preserve"> Care and Treatment Review</w:t>
      </w:r>
      <w:r w:rsidR="00C83AC5">
        <w:t xml:space="preserve"> or a </w:t>
      </w:r>
      <w:r w:rsidR="00585C95" w:rsidRPr="001978AA">
        <w:t>Care, Education and Treatment Review</w:t>
      </w:r>
      <w:r w:rsidR="00C83AC5">
        <w:t xml:space="preserve"> have told us that they </w:t>
      </w:r>
      <w:r w:rsidR="00585C95" w:rsidRPr="001978AA">
        <w:t xml:space="preserve">made a difference and that the changes that had been made to them in 2017 were an improvement. </w:t>
      </w:r>
    </w:p>
    <w:p w14:paraId="0179D9BA" w14:textId="0BC3BB28" w:rsidR="00585C95" w:rsidRPr="001978AA" w:rsidRDefault="00585C95" w:rsidP="000F0BEC">
      <w:r w:rsidRPr="001978AA">
        <w:t>We believe that the government and NHS Engla</w:t>
      </w:r>
      <w:r w:rsidR="00C83AC5">
        <w:t xml:space="preserve">nd have not yet done enough to put </w:t>
      </w:r>
      <w:r w:rsidR="00482ABC">
        <w:rPr>
          <w:lang w:eastAsia="en-GB"/>
        </w:rPr>
        <w:t xml:space="preserve">people with learning disabilities </w:t>
      </w:r>
      <w:r w:rsidR="00C83AC5">
        <w:t xml:space="preserve">and autistic people and their families in charge of Transforming Care and that they also </w:t>
      </w:r>
      <w:r w:rsidRPr="001978AA">
        <w:t xml:space="preserve">underestimated the amount of work </w:t>
      </w:r>
      <w:r w:rsidR="004D28F1">
        <w:t>involved.</w:t>
      </w:r>
    </w:p>
    <w:p w14:paraId="3AA26ECA" w14:textId="5E5D1B0C" w:rsidR="00585C95" w:rsidRPr="001978AA" w:rsidRDefault="00585C95" w:rsidP="000F0BEC">
      <w:r w:rsidRPr="001978AA">
        <w:t xml:space="preserve">At the end of the report we point out that Transforming Care and </w:t>
      </w:r>
      <w:r w:rsidRPr="008B2750">
        <w:rPr>
          <w:i/>
        </w:rPr>
        <w:t>Building the Right Support</w:t>
      </w:r>
      <w:r w:rsidRPr="001978AA">
        <w:t xml:space="preserve"> are not mentioned in the NHS Long Term Plan</w:t>
      </w:r>
      <w:r w:rsidR="00C83AC5">
        <w:t xml:space="preserve"> 2019 </w:t>
      </w:r>
      <w:r w:rsidR="004D28F1">
        <w:t xml:space="preserve">and that the new commitment to reduce unnecessary hospital admissions for </w:t>
      </w:r>
      <w:r w:rsidR="00482ABC">
        <w:rPr>
          <w:lang w:eastAsia="en-GB"/>
        </w:rPr>
        <w:t xml:space="preserve">people with learning disabilities </w:t>
      </w:r>
      <w:r w:rsidR="004D28F1">
        <w:t>and autistic people is disappointingly low in ambition</w:t>
      </w:r>
      <w:r w:rsidRPr="001978AA">
        <w:t xml:space="preserve">.  </w:t>
      </w:r>
    </w:p>
    <w:p w14:paraId="4839C264" w14:textId="77777777" w:rsidR="007C37EB" w:rsidRDefault="007C37EB" w:rsidP="000F0BEC">
      <w:pPr>
        <w:sectPr w:rsidR="007C37EB" w:rsidSect="00204E09">
          <w:headerReference w:type="default" r:id="rId16"/>
          <w:footerReference w:type="default" r:id="rId17"/>
          <w:pgSz w:w="11906" w:h="16838"/>
          <w:pgMar w:top="1440" w:right="1440" w:bottom="1440" w:left="1440" w:header="709" w:footer="283" w:gutter="0"/>
          <w:pgNumType w:start="1"/>
          <w:cols w:space="708"/>
          <w:docGrid w:linePitch="381"/>
        </w:sectPr>
      </w:pPr>
    </w:p>
    <w:bookmarkStart w:id="7" w:name="_Toc2456720" w:displacedByCustomXml="next"/>
    <w:sdt>
      <w:sdtPr>
        <w:rPr>
          <w:rFonts w:ascii="Trebuchet MS" w:hAnsi="Trebuchet MS"/>
          <w:b w:val="0"/>
          <w:color w:val="auto"/>
          <w:sz w:val="28"/>
          <w:szCs w:val="22"/>
        </w:rPr>
        <w:id w:val="-2060009263"/>
        <w:docPartObj>
          <w:docPartGallery w:val="Table of Contents"/>
          <w:docPartUnique/>
        </w:docPartObj>
      </w:sdtPr>
      <w:sdtEndPr>
        <w:rPr>
          <w:rFonts w:asciiTheme="minorHAnsi" w:hAnsiTheme="minorHAnsi"/>
          <w:noProof/>
          <w:sz w:val="24"/>
          <w:szCs w:val="24"/>
        </w:rPr>
      </w:sdtEndPr>
      <w:sdtContent>
        <w:p w14:paraId="3327228E" w14:textId="0F0E5061" w:rsidR="00A860E0" w:rsidRPr="007C37EB" w:rsidRDefault="00A860E0" w:rsidP="00B12F43">
          <w:pPr>
            <w:pStyle w:val="Heading1"/>
            <w:rPr>
              <w:rStyle w:val="Heading1Char"/>
              <w:b/>
            </w:rPr>
          </w:pPr>
          <w:r w:rsidRPr="007C37EB">
            <w:rPr>
              <w:rStyle w:val="Heading1Char"/>
              <w:b/>
            </w:rPr>
            <w:t>Contents</w:t>
          </w:r>
        </w:p>
        <w:p w14:paraId="1752491B" w14:textId="5C248807" w:rsidR="007C37EB" w:rsidRPr="007C37EB" w:rsidRDefault="00A860E0">
          <w:pPr>
            <w:pStyle w:val="TOC1"/>
            <w:tabs>
              <w:tab w:val="right" w:leader="dot" w:pos="9016"/>
            </w:tabs>
            <w:rPr>
              <w:rFonts w:eastAsiaTheme="minorEastAsia" w:cstheme="minorBidi"/>
              <w:b w:val="0"/>
              <w:bCs w:val="0"/>
              <w:i w:val="0"/>
              <w:iCs w:val="0"/>
              <w:noProof/>
              <w:lang w:eastAsia="en-GB"/>
            </w:rPr>
          </w:pPr>
          <w:r w:rsidRPr="007C37EB">
            <w:rPr>
              <w:b w:val="0"/>
            </w:rPr>
            <w:fldChar w:fldCharType="begin"/>
          </w:r>
          <w:r w:rsidRPr="007C37EB">
            <w:rPr>
              <w:b w:val="0"/>
            </w:rPr>
            <w:instrText xml:space="preserve"> TOC \o "1-3" \h \z \u </w:instrText>
          </w:r>
          <w:r w:rsidRPr="007C37EB">
            <w:rPr>
              <w:b w:val="0"/>
            </w:rPr>
            <w:fldChar w:fldCharType="separate"/>
          </w:r>
          <w:hyperlink w:anchor="_Toc12477541" w:history="1">
            <w:r w:rsidR="007C37EB" w:rsidRPr="007C37EB">
              <w:rPr>
                <w:rStyle w:val="Hyperlink"/>
                <w:b w:val="0"/>
                <w:i w:val="0"/>
                <w:noProof/>
              </w:rPr>
              <w:t>Accessible Summary and Key Findings</w:t>
            </w:r>
            <w:r w:rsidR="007C37EB" w:rsidRPr="007C37EB">
              <w:rPr>
                <w:b w:val="0"/>
                <w:i w:val="0"/>
                <w:noProof/>
                <w:webHidden/>
              </w:rPr>
              <w:tab/>
            </w:r>
            <w:r w:rsidR="007C37EB" w:rsidRPr="007C37EB">
              <w:rPr>
                <w:b w:val="0"/>
                <w:i w:val="0"/>
                <w:noProof/>
                <w:webHidden/>
              </w:rPr>
              <w:fldChar w:fldCharType="begin"/>
            </w:r>
            <w:r w:rsidR="007C37EB" w:rsidRPr="007C37EB">
              <w:rPr>
                <w:b w:val="0"/>
                <w:i w:val="0"/>
                <w:noProof/>
                <w:webHidden/>
              </w:rPr>
              <w:instrText xml:space="preserve"> PAGEREF _Toc12477541 \h </w:instrText>
            </w:r>
            <w:r w:rsidR="007C37EB" w:rsidRPr="007C37EB">
              <w:rPr>
                <w:b w:val="0"/>
                <w:i w:val="0"/>
                <w:noProof/>
                <w:webHidden/>
              </w:rPr>
            </w:r>
            <w:r w:rsidR="007C37EB" w:rsidRPr="007C37EB">
              <w:rPr>
                <w:b w:val="0"/>
                <w:i w:val="0"/>
                <w:noProof/>
                <w:webHidden/>
              </w:rPr>
              <w:fldChar w:fldCharType="separate"/>
            </w:r>
            <w:r w:rsidR="00657C12">
              <w:rPr>
                <w:b w:val="0"/>
                <w:i w:val="0"/>
                <w:noProof/>
                <w:webHidden/>
              </w:rPr>
              <w:t>1</w:t>
            </w:r>
            <w:r w:rsidR="007C37EB" w:rsidRPr="007C37EB">
              <w:rPr>
                <w:b w:val="0"/>
                <w:i w:val="0"/>
                <w:noProof/>
                <w:webHidden/>
              </w:rPr>
              <w:fldChar w:fldCharType="end"/>
            </w:r>
          </w:hyperlink>
        </w:p>
        <w:p w14:paraId="4ACB45DC" w14:textId="6B2D7878" w:rsidR="007C37EB" w:rsidRPr="007C37EB" w:rsidRDefault="00243862">
          <w:pPr>
            <w:pStyle w:val="TOC1"/>
            <w:tabs>
              <w:tab w:val="right" w:leader="dot" w:pos="9016"/>
            </w:tabs>
            <w:rPr>
              <w:rFonts w:eastAsiaTheme="minorEastAsia" w:cstheme="minorBidi"/>
              <w:b w:val="0"/>
              <w:bCs w:val="0"/>
              <w:i w:val="0"/>
              <w:iCs w:val="0"/>
              <w:noProof/>
              <w:lang w:eastAsia="en-GB"/>
            </w:rPr>
          </w:pPr>
          <w:hyperlink w:anchor="_Toc12477542" w:history="1">
            <w:r w:rsidR="007C37EB" w:rsidRPr="007C37EB">
              <w:rPr>
                <w:rStyle w:val="Hyperlink"/>
                <w:b w:val="0"/>
                <w:i w:val="0"/>
                <w:noProof/>
              </w:rPr>
              <w:t>An Introduction to Transforming Care</w:t>
            </w:r>
            <w:r w:rsidR="007C37EB" w:rsidRPr="007C37EB">
              <w:rPr>
                <w:b w:val="0"/>
                <w:i w:val="0"/>
                <w:noProof/>
                <w:webHidden/>
              </w:rPr>
              <w:tab/>
            </w:r>
            <w:r w:rsidR="007C37EB" w:rsidRPr="007C37EB">
              <w:rPr>
                <w:b w:val="0"/>
                <w:i w:val="0"/>
                <w:noProof/>
                <w:webHidden/>
              </w:rPr>
              <w:fldChar w:fldCharType="begin"/>
            </w:r>
            <w:r w:rsidR="007C37EB" w:rsidRPr="007C37EB">
              <w:rPr>
                <w:b w:val="0"/>
                <w:i w:val="0"/>
                <w:noProof/>
                <w:webHidden/>
              </w:rPr>
              <w:instrText xml:space="preserve"> PAGEREF _Toc12477542 \h </w:instrText>
            </w:r>
            <w:r w:rsidR="007C37EB" w:rsidRPr="007C37EB">
              <w:rPr>
                <w:b w:val="0"/>
                <w:i w:val="0"/>
                <w:noProof/>
                <w:webHidden/>
              </w:rPr>
            </w:r>
            <w:r w:rsidR="007C37EB" w:rsidRPr="007C37EB">
              <w:rPr>
                <w:b w:val="0"/>
                <w:i w:val="0"/>
                <w:noProof/>
                <w:webHidden/>
              </w:rPr>
              <w:fldChar w:fldCharType="separate"/>
            </w:r>
            <w:r w:rsidR="00657C12">
              <w:rPr>
                <w:b w:val="0"/>
                <w:i w:val="0"/>
                <w:noProof/>
                <w:webHidden/>
              </w:rPr>
              <w:t>5</w:t>
            </w:r>
            <w:r w:rsidR="007C37EB" w:rsidRPr="007C37EB">
              <w:rPr>
                <w:b w:val="0"/>
                <w:i w:val="0"/>
                <w:noProof/>
                <w:webHidden/>
              </w:rPr>
              <w:fldChar w:fldCharType="end"/>
            </w:r>
          </w:hyperlink>
        </w:p>
        <w:p w14:paraId="7343D379" w14:textId="4BBDF01A" w:rsidR="007C37EB" w:rsidRPr="007C37EB" w:rsidRDefault="00243862">
          <w:pPr>
            <w:pStyle w:val="TOC1"/>
            <w:tabs>
              <w:tab w:val="right" w:leader="dot" w:pos="9016"/>
            </w:tabs>
            <w:rPr>
              <w:rFonts w:eastAsiaTheme="minorEastAsia" w:cstheme="minorBidi"/>
              <w:b w:val="0"/>
              <w:bCs w:val="0"/>
              <w:i w:val="0"/>
              <w:iCs w:val="0"/>
              <w:noProof/>
              <w:lang w:eastAsia="en-GB"/>
            </w:rPr>
          </w:pPr>
          <w:hyperlink w:anchor="_Toc12477543" w:history="1">
            <w:r w:rsidR="007C37EB" w:rsidRPr="007C37EB">
              <w:rPr>
                <w:rStyle w:val="Hyperlink"/>
                <w:b w:val="0"/>
                <w:i w:val="0"/>
                <w:noProof/>
              </w:rPr>
              <w:t>Transforming Care: Building the Right Support (2016-2019)</w:t>
            </w:r>
            <w:r w:rsidR="007C37EB" w:rsidRPr="007C37EB">
              <w:rPr>
                <w:b w:val="0"/>
                <w:i w:val="0"/>
                <w:noProof/>
                <w:webHidden/>
              </w:rPr>
              <w:tab/>
            </w:r>
            <w:r w:rsidR="007C37EB" w:rsidRPr="007C37EB">
              <w:rPr>
                <w:b w:val="0"/>
                <w:i w:val="0"/>
                <w:noProof/>
                <w:webHidden/>
              </w:rPr>
              <w:fldChar w:fldCharType="begin"/>
            </w:r>
            <w:r w:rsidR="007C37EB" w:rsidRPr="007C37EB">
              <w:rPr>
                <w:b w:val="0"/>
                <w:i w:val="0"/>
                <w:noProof/>
                <w:webHidden/>
              </w:rPr>
              <w:instrText xml:space="preserve"> PAGEREF _Toc12477543 \h </w:instrText>
            </w:r>
            <w:r w:rsidR="007C37EB" w:rsidRPr="007C37EB">
              <w:rPr>
                <w:b w:val="0"/>
                <w:i w:val="0"/>
                <w:noProof/>
                <w:webHidden/>
              </w:rPr>
            </w:r>
            <w:r w:rsidR="007C37EB" w:rsidRPr="007C37EB">
              <w:rPr>
                <w:b w:val="0"/>
                <w:i w:val="0"/>
                <w:noProof/>
                <w:webHidden/>
              </w:rPr>
              <w:fldChar w:fldCharType="separate"/>
            </w:r>
            <w:r w:rsidR="00657C12">
              <w:rPr>
                <w:b w:val="0"/>
                <w:i w:val="0"/>
                <w:noProof/>
                <w:webHidden/>
              </w:rPr>
              <w:t>11</w:t>
            </w:r>
            <w:r w:rsidR="007C37EB" w:rsidRPr="007C37EB">
              <w:rPr>
                <w:b w:val="0"/>
                <w:i w:val="0"/>
                <w:noProof/>
                <w:webHidden/>
              </w:rPr>
              <w:fldChar w:fldCharType="end"/>
            </w:r>
          </w:hyperlink>
        </w:p>
        <w:p w14:paraId="0C14BEE6" w14:textId="2F76AE14"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44" w:history="1">
            <w:r w:rsidR="007C37EB" w:rsidRPr="007C37EB">
              <w:rPr>
                <w:rStyle w:val="Hyperlink"/>
                <w:b w:val="0"/>
                <w:noProof/>
                <w:sz w:val="24"/>
              </w:rPr>
              <w:t>A National Service Model</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_Toc12477544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11</w:t>
            </w:r>
            <w:r w:rsidR="007C37EB" w:rsidRPr="007C37EB">
              <w:rPr>
                <w:b w:val="0"/>
                <w:noProof/>
                <w:webHidden/>
                <w:sz w:val="24"/>
              </w:rPr>
              <w:fldChar w:fldCharType="end"/>
            </w:r>
          </w:hyperlink>
        </w:p>
        <w:p w14:paraId="12EC2D70" w14:textId="7F232B2D"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45" w:history="1">
            <w:r w:rsidR="007C37EB" w:rsidRPr="007C37EB">
              <w:rPr>
                <w:rStyle w:val="Hyperlink"/>
                <w:b w:val="0"/>
                <w:noProof/>
                <w:sz w:val="24"/>
              </w:rPr>
              <w:t>A New Financial Framework</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_Toc12477545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11</w:t>
            </w:r>
            <w:r w:rsidR="007C37EB" w:rsidRPr="007C37EB">
              <w:rPr>
                <w:b w:val="0"/>
                <w:noProof/>
                <w:webHidden/>
                <w:sz w:val="24"/>
              </w:rPr>
              <w:fldChar w:fldCharType="end"/>
            </w:r>
          </w:hyperlink>
        </w:p>
        <w:p w14:paraId="0997D7CA" w14:textId="3B7C5763"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46" w:history="1">
            <w:r w:rsidR="007C37EB" w:rsidRPr="007C37EB">
              <w:rPr>
                <w:rStyle w:val="Hyperlink"/>
                <w:b w:val="0"/>
                <w:noProof/>
                <w:sz w:val="24"/>
              </w:rPr>
              <w:t>Care and Treatment Reviews</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_Toc12477546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11</w:t>
            </w:r>
            <w:r w:rsidR="007C37EB" w:rsidRPr="007C37EB">
              <w:rPr>
                <w:b w:val="0"/>
                <w:noProof/>
                <w:webHidden/>
                <w:sz w:val="24"/>
              </w:rPr>
              <w:fldChar w:fldCharType="end"/>
            </w:r>
          </w:hyperlink>
        </w:p>
        <w:p w14:paraId="213E1968" w14:textId="79BC4D42"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47" w:history="1">
            <w:r w:rsidR="007C37EB" w:rsidRPr="007C37EB">
              <w:rPr>
                <w:rStyle w:val="Hyperlink"/>
                <w:b w:val="0"/>
                <w:noProof/>
                <w:sz w:val="24"/>
              </w:rPr>
              <w:t>Transforming Care Partnerships</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_Toc12477547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12</w:t>
            </w:r>
            <w:r w:rsidR="007C37EB" w:rsidRPr="007C37EB">
              <w:rPr>
                <w:b w:val="0"/>
                <w:noProof/>
                <w:webHidden/>
                <w:sz w:val="24"/>
              </w:rPr>
              <w:fldChar w:fldCharType="end"/>
            </w:r>
          </w:hyperlink>
        </w:p>
        <w:p w14:paraId="66616706" w14:textId="642A8840"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48" w:history="1">
            <w:r w:rsidR="007C37EB" w:rsidRPr="007C37EB">
              <w:rPr>
                <w:rStyle w:val="Hyperlink"/>
                <w:b w:val="0"/>
                <w:noProof/>
                <w:sz w:val="24"/>
              </w:rPr>
              <w:t>Building the Right Support Objectives</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_Toc12477548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12</w:t>
            </w:r>
            <w:r w:rsidR="007C37EB" w:rsidRPr="007C37EB">
              <w:rPr>
                <w:b w:val="0"/>
                <w:noProof/>
                <w:webHidden/>
                <w:sz w:val="24"/>
              </w:rPr>
              <w:fldChar w:fldCharType="end"/>
            </w:r>
          </w:hyperlink>
        </w:p>
        <w:p w14:paraId="41BA2C84" w14:textId="4D84999A"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49" w:history="1">
            <w:r w:rsidR="007C37EB" w:rsidRPr="007C37EB">
              <w:rPr>
                <w:rStyle w:val="Hyperlink"/>
                <w:b w:val="0"/>
                <w:noProof/>
                <w:sz w:val="24"/>
                <w:lang w:eastAsia="en-GB"/>
              </w:rPr>
              <w:t>How many people were in hospital at the start of Transforming Care?</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_Toc12477549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14</w:t>
            </w:r>
            <w:r w:rsidR="007C37EB" w:rsidRPr="007C37EB">
              <w:rPr>
                <w:b w:val="0"/>
                <w:noProof/>
                <w:webHidden/>
                <w:sz w:val="24"/>
              </w:rPr>
              <w:fldChar w:fldCharType="end"/>
            </w:r>
          </w:hyperlink>
        </w:p>
        <w:p w14:paraId="1E4AADE7" w14:textId="34CD9253"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50" w:history="1">
            <w:r w:rsidR="007C37EB" w:rsidRPr="007C37EB">
              <w:rPr>
                <w:rStyle w:val="Hyperlink"/>
                <w:b w:val="0"/>
                <w:noProof/>
                <w:sz w:val="24"/>
                <w:lang w:eastAsia="en-GB"/>
              </w:rPr>
              <w:t>Where do we find the information about Transforming Care?</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_Toc12477550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14</w:t>
            </w:r>
            <w:r w:rsidR="007C37EB" w:rsidRPr="007C37EB">
              <w:rPr>
                <w:b w:val="0"/>
                <w:noProof/>
                <w:webHidden/>
                <w:sz w:val="24"/>
              </w:rPr>
              <w:fldChar w:fldCharType="end"/>
            </w:r>
          </w:hyperlink>
        </w:p>
        <w:p w14:paraId="31FE4A9D" w14:textId="588D356F"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51" w:history="1">
            <w:r w:rsidR="007C37EB" w:rsidRPr="007C37EB">
              <w:rPr>
                <w:rStyle w:val="Hyperlink"/>
                <w:b w:val="0"/>
                <w:noProof/>
                <w:sz w:val="24"/>
              </w:rPr>
              <w:t>Has the number of inpatient beds for people with learning disabilities reduced?</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_Toc12477551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18</w:t>
            </w:r>
            <w:r w:rsidR="007C37EB" w:rsidRPr="007C37EB">
              <w:rPr>
                <w:b w:val="0"/>
                <w:noProof/>
                <w:webHidden/>
                <w:sz w:val="24"/>
              </w:rPr>
              <w:fldChar w:fldCharType="end"/>
            </w:r>
          </w:hyperlink>
        </w:p>
        <w:p w14:paraId="03813EC2" w14:textId="26DA89D0"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52" w:history="1">
            <w:r w:rsidR="007C37EB" w:rsidRPr="007C37EB">
              <w:rPr>
                <w:rStyle w:val="Hyperlink"/>
                <w:b w:val="0"/>
                <w:noProof/>
                <w:sz w:val="24"/>
                <w:lang w:eastAsia="en-GB"/>
              </w:rPr>
              <w:t>Has the length of time people stay in inpatient units reduced?</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_Toc12477552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21</w:t>
            </w:r>
            <w:r w:rsidR="007C37EB" w:rsidRPr="007C37EB">
              <w:rPr>
                <w:b w:val="0"/>
                <w:noProof/>
                <w:webHidden/>
                <w:sz w:val="24"/>
              </w:rPr>
              <w:fldChar w:fldCharType="end"/>
            </w:r>
          </w:hyperlink>
        </w:p>
        <w:p w14:paraId="1051442A" w14:textId="0E095757" w:rsidR="007C37EB" w:rsidRPr="007C37EB" w:rsidRDefault="00243862">
          <w:pPr>
            <w:pStyle w:val="TOC1"/>
            <w:tabs>
              <w:tab w:val="right" w:leader="dot" w:pos="9016"/>
            </w:tabs>
            <w:rPr>
              <w:rFonts w:eastAsiaTheme="minorEastAsia" w:cstheme="minorBidi"/>
              <w:b w:val="0"/>
              <w:bCs w:val="0"/>
              <w:i w:val="0"/>
              <w:iCs w:val="0"/>
              <w:noProof/>
              <w:lang w:eastAsia="en-GB"/>
            </w:rPr>
          </w:pPr>
          <w:hyperlink w:anchor="_Toc12477553" w:history="1">
            <w:r w:rsidR="007C37EB" w:rsidRPr="007C37EB">
              <w:rPr>
                <w:rStyle w:val="Hyperlink"/>
                <w:b w:val="0"/>
                <w:i w:val="0"/>
                <w:noProof/>
              </w:rPr>
              <w:t>Has Transforming Care Building the Right Support achieved its objectives?</w:t>
            </w:r>
            <w:r w:rsidR="007C37EB" w:rsidRPr="007C37EB">
              <w:rPr>
                <w:b w:val="0"/>
                <w:i w:val="0"/>
                <w:noProof/>
                <w:webHidden/>
              </w:rPr>
              <w:tab/>
            </w:r>
            <w:r w:rsidR="007C37EB" w:rsidRPr="007C37EB">
              <w:rPr>
                <w:b w:val="0"/>
                <w:i w:val="0"/>
                <w:noProof/>
                <w:webHidden/>
              </w:rPr>
              <w:fldChar w:fldCharType="begin"/>
            </w:r>
            <w:r w:rsidR="007C37EB" w:rsidRPr="007C37EB">
              <w:rPr>
                <w:b w:val="0"/>
                <w:i w:val="0"/>
                <w:noProof/>
                <w:webHidden/>
              </w:rPr>
              <w:instrText xml:space="preserve"> PAGEREF _Toc12477553 \h </w:instrText>
            </w:r>
            <w:r w:rsidR="007C37EB" w:rsidRPr="007C37EB">
              <w:rPr>
                <w:b w:val="0"/>
                <w:i w:val="0"/>
                <w:noProof/>
                <w:webHidden/>
              </w:rPr>
            </w:r>
            <w:r w:rsidR="007C37EB" w:rsidRPr="007C37EB">
              <w:rPr>
                <w:b w:val="0"/>
                <w:i w:val="0"/>
                <w:noProof/>
                <w:webHidden/>
              </w:rPr>
              <w:fldChar w:fldCharType="separate"/>
            </w:r>
            <w:r w:rsidR="00657C12">
              <w:rPr>
                <w:b w:val="0"/>
                <w:i w:val="0"/>
                <w:noProof/>
                <w:webHidden/>
              </w:rPr>
              <w:t>22</w:t>
            </w:r>
            <w:r w:rsidR="007C37EB" w:rsidRPr="007C37EB">
              <w:rPr>
                <w:b w:val="0"/>
                <w:i w:val="0"/>
                <w:noProof/>
                <w:webHidden/>
              </w:rPr>
              <w:fldChar w:fldCharType="end"/>
            </w:r>
          </w:hyperlink>
        </w:p>
        <w:p w14:paraId="18B0AEC4" w14:textId="1B4115B2" w:rsidR="007C37EB" w:rsidRPr="007C37EB" w:rsidRDefault="00243862">
          <w:pPr>
            <w:pStyle w:val="TOC2"/>
            <w:tabs>
              <w:tab w:val="right" w:leader="dot" w:pos="9016"/>
            </w:tabs>
            <w:rPr>
              <w:rFonts w:eastAsiaTheme="minorEastAsia" w:cstheme="minorBidi"/>
              <w:b w:val="0"/>
              <w:bCs w:val="0"/>
              <w:noProof/>
              <w:sz w:val="24"/>
              <w:lang w:eastAsia="en-GB"/>
            </w:rPr>
          </w:pPr>
          <w:hyperlink w:anchor="_Toc12477554" w:history="1">
            <w:r w:rsidR="007C37EB" w:rsidRPr="007C37EB">
              <w:rPr>
                <w:rStyle w:val="Hyperlink"/>
                <w:b w:val="0"/>
                <w:noProof/>
                <w:sz w:val="24"/>
              </w:rPr>
              <w:t>Why hasn’t Building the Right Support delivered the outcomes that it promised?</w:t>
            </w:r>
            <w:r w:rsidR="007C37EB" w:rsidRPr="007C37EB">
              <w:rPr>
                <w:b w:val="0"/>
                <w:noProof/>
                <w:webHidden/>
                <w:sz w:val="24"/>
              </w:rPr>
              <w:tab/>
            </w:r>
            <w:r w:rsidR="007C37EB" w:rsidRPr="007C37EB">
              <w:rPr>
                <w:b w:val="0"/>
                <w:noProof/>
                <w:webHidden/>
                <w:sz w:val="24"/>
              </w:rPr>
              <w:fldChar w:fldCharType="begin"/>
            </w:r>
            <w:r w:rsidR="007C37EB" w:rsidRPr="007C37EB">
              <w:rPr>
                <w:b w:val="0"/>
                <w:noProof/>
                <w:webHidden/>
                <w:sz w:val="24"/>
              </w:rPr>
              <w:instrText xml:space="preserve"> PAGEREF _Toc12477554 \h </w:instrText>
            </w:r>
            <w:r w:rsidR="007C37EB" w:rsidRPr="007C37EB">
              <w:rPr>
                <w:b w:val="0"/>
                <w:noProof/>
                <w:webHidden/>
                <w:sz w:val="24"/>
              </w:rPr>
            </w:r>
            <w:r w:rsidR="007C37EB" w:rsidRPr="007C37EB">
              <w:rPr>
                <w:b w:val="0"/>
                <w:noProof/>
                <w:webHidden/>
                <w:sz w:val="24"/>
              </w:rPr>
              <w:fldChar w:fldCharType="separate"/>
            </w:r>
            <w:r w:rsidR="00657C12">
              <w:rPr>
                <w:b w:val="0"/>
                <w:noProof/>
                <w:webHidden/>
                <w:sz w:val="24"/>
              </w:rPr>
              <w:t>22</w:t>
            </w:r>
            <w:r w:rsidR="007C37EB" w:rsidRPr="007C37EB">
              <w:rPr>
                <w:b w:val="0"/>
                <w:noProof/>
                <w:webHidden/>
                <w:sz w:val="24"/>
              </w:rPr>
              <w:fldChar w:fldCharType="end"/>
            </w:r>
          </w:hyperlink>
        </w:p>
        <w:p w14:paraId="7F6571E8" w14:textId="2BB7C87D" w:rsidR="00A860E0" w:rsidRDefault="00A860E0" w:rsidP="007C37EB">
          <w:pPr>
            <w:jc w:val="both"/>
          </w:pPr>
          <w:r w:rsidRPr="007C37EB">
            <w:rPr>
              <w:noProof/>
            </w:rPr>
            <w:fldChar w:fldCharType="end"/>
          </w:r>
        </w:p>
      </w:sdtContent>
    </w:sdt>
    <w:p w14:paraId="791D7E17" w14:textId="6C1D6DB7" w:rsidR="00E1740F" w:rsidRDefault="00E1740F" w:rsidP="00E1740F">
      <w:pPr>
        <w:pStyle w:val="TOC2"/>
        <w:tabs>
          <w:tab w:val="right" w:leader="dot" w:pos="9016"/>
        </w:tabs>
        <w:rPr>
          <w:b w:val="0"/>
          <w:bCs w:val="0"/>
        </w:rPr>
      </w:pPr>
    </w:p>
    <w:p w14:paraId="4006F9FF" w14:textId="77777777" w:rsidR="00E1740F" w:rsidRPr="00E1740F" w:rsidRDefault="00E1740F" w:rsidP="00E1740F">
      <w:pPr>
        <w:sectPr w:rsidR="00E1740F" w:rsidRPr="00E1740F" w:rsidSect="007C37EB">
          <w:type w:val="oddPage"/>
          <w:pgSz w:w="11906" w:h="16838"/>
          <w:pgMar w:top="1440" w:right="1440" w:bottom="1440" w:left="1440" w:header="709" w:footer="283" w:gutter="0"/>
          <w:cols w:space="708"/>
          <w:docGrid w:linePitch="381"/>
        </w:sectPr>
      </w:pPr>
    </w:p>
    <w:p w14:paraId="227F003F" w14:textId="4CFBF61C" w:rsidR="00E1740F" w:rsidRPr="00E1740F" w:rsidRDefault="00E1740F" w:rsidP="00E1740F">
      <w:pPr>
        <w:pStyle w:val="TOC2"/>
        <w:tabs>
          <w:tab w:val="right" w:leader="dot" w:pos="9016"/>
        </w:tabs>
        <w:rPr>
          <w:b w:val="0"/>
          <w:bCs w:val="0"/>
        </w:rPr>
      </w:pPr>
    </w:p>
    <w:p w14:paraId="1311AFE8" w14:textId="12512F43" w:rsidR="00A90DF3" w:rsidRPr="007C37EB" w:rsidRDefault="00A90DF3" w:rsidP="00B12F43">
      <w:pPr>
        <w:pStyle w:val="Heading1"/>
        <w:rPr>
          <w:rStyle w:val="Heading1Char"/>
          <w:b/>
        </w:rPr>
      </w:pPr>
      <w:r>
        <w:rPr>
          <w:rStyle w:val="Heading1Char"/>
          <w:b/>
        </w:rPr>
        <w:t>Figures</w:t>
      </w:r>
    </w:p>
    <w:p w14:paraId="74119BB8" w14:textId="59E6DE76" w:rsidR="00482ABC" w:rsidRDefault="00E1740F" w:rsidP="00482ABC">
      <w:pPr>
        <w:pStyle w:val="TableofFigures"/>
        <w:tabs>
          <w:tab w:val="right" w:leader="dot" w:pos="9016"/>
        </w:tabs>
        <w:spacing w:after="120"/>
        <w:rPr>
          <w:rFonts w:eastAsiaTheme="minorEastAsia" w:cstheme="minorBidi"/>
          <w:noProof/>
          <w:sz w:val="22"/>
          <w:szCs w:val="22"/>
          <w:lang w:eastAsia="en-GB"/>
        </w:rPr>
      </w:pPr>
      <w:r>
        <w:fldChar w:fldCharType="begin"/>
      </w:r>
      <w:r>
        <w:instrText xml:space="preserve"> TOC \h \z \t "Figures" \c </w:instrText>
      </w:r>
      <w:r>
        <w:fldChar w:fldCharType="separate"/>
      </w:r>
      <w:hyperlink w:anchor="_Toc13644477" w:history="1">
        <w:r w:rsidR="00482ABC" w:rsidRPr="00482ABC">
          <w:rPr>
            <w:rStyle w:val="Hyperlink"/>
            <w:b/>
            <w:noProof/>
          </w:rPr>
          <w:t>Figure 1</w:t>
        </w:r>
        <w:r w:rsidR="00482ABC" w:rsidRPr="0024621A">
          <w:rPr>
            <w:rStyle w:val="Hyperlink"/>
            <w:noProof/>
          </w:rPr>
          <w:t xml:space="preserve"> showing the number of people reported as being in patient units by Assuring Transformation (AT) and the Mental Health Services Data Set (MHSDS)</w:t>
        </w:r>
        <w:r w:rsidR="00482ABC">
          <w:rPr>
            <w:noProof/>
            <w:webHidden/>
          </w:rPr>
          <w:tab/>
        </w:r>
        <w:r w:rsidR="00482ABC">
          <w:rPr>
            <w:noProof/>
            <w:webHidden/>
          </w:rPr>
          <w:fldChar w:fldCharType="begin"/>
        </w:r>
        <w:r w:rsidR="00482ABC">
          <w:rPr>
            <w:noProof/>
            <w:webHidden/>
          </w:rPr>
          <w:instrText xml:space="preserve"> PAGEREF _Toc13644477 \h </w:instrText>
        </w:r>
        <w:r w:rsidR="00482ABC">
          <w:rPr>
            <w:noProof/>
            <w:webHidden/>
          </w:rPr>
        </w:r>
        <w:r w:rsidR="00482ABC">
          <w:rPr>
            <w:noProof/>
            <w:webHidden/>
          </w:rPr>
          <w:fldChar w:fldCharType="separate"/>
        </w:r>
        <w:r w:rsidR="00657C12">
          <w:rPr>
            <w:noProof/>
            <w:webHidden/>
          </w:rPr>
          <w:t>15</w:t>
        </w:r>
        <w:r w:rsidR="00482ABC">
          <w:rPr>
            <w:noProof/>
            <w:webHidden/>
          </w:rPr>
          <w:fldChar w:fldCharType="end"/>
        </w:r>
      </w:hyperlink>
    </w:p>
    <w:p w14:paraId="628FCA71" w14:textId="2A936528" w:rsidR="00482ABC" w:rsidRDefault="00243862" w:rsidP="00482ABC">
      <w:pPr>
        <w:pStyle w:val="TableofFigures"/>
        <w:tabs>
          <w:tab w:val="right" w:leader="dot" w:pos="9016"/>
        </w:tabs>
        <w:spacing w:after="120"/>
        <w:rPr>
          <w:rFonts w:eastAsiaTheme="minorEastAsia" w:cstheme="minorBidi"/>
          <w:noProof/>
          <w:sz w:val="22"/>
          <w:szCs w:val="22"/>
          <w:lang w:eastAsia="en-GB"/>
        </w:rPr>
      </w:pPr>
      <w:hyperlink w:anchor="_Toc13644478" w:history="1">
        <w:r w:rsidR="00482ABC" w:rsidRPr="00482ABC">
          <w:rPr>
            <w:rStyle w:val="Hyperlink"/>
            <w:b/>
            <w:noProof/>
          </w:rPr>
          <w:t xml:space="preserve">Figure 2 </w:t>
        </w:r>
        <w:r w:rsidR="00482ABC" w:rsidRPr="0024621A">
          <w:rPr>
            <w:rStyle w:val="Hyperlink"/>
            <w:noProof/>
          </w:rPr>
          <w:t>Inpatient rates per million people registered with GPs by TCP area, the column in blue is the baseline reported by the 48 TCPs in 2016, the column in red is the 2019 TCP target in keeping with Building the Right Support, the green line is the projected percentile change required</w:t>
        </w:r>
        <w:r w:rsidR="00482ABC">
          <w:rPr>
            <w:noProof/>
            <w:webHidden/>
          </w:rPr>
          <w:tab/>
        </w:r>
        <w:r w:rsidR="00482ABC">
          <w:rPr>
            <w:noProof/>
            <w:webHidden/>
          </w:rPr>
          <w:fldChar w:fldCharType="begin"/>
        </w:r>
        <w:r w:rsidR="00482ABC">
          <w:rPr>
            <w:noProof/>
            <w:webHidden/>
          </w:rPr>
          <w:instrText xml:space="preserve"> PAGEREF _Toc13644478 \h </w:instrText>
        </w:r>
        <w:r w:rsidR="00482ABC">
          <w:rPr>
            <w:noProof/>
            <w:webHidden/>
          </w:rPr>
        </w:r>
        <w:r w:rsidR="00482ABC">
          <w:rPr>
            <w:noProof/>
            <w:webHidden/>
          </w:rPr>
          <w:fldChar w:fldCharType="separate"/>
        </w:r>
        <w:r w:rsidR="00657C12">
          <w:rPr>
            <w:noProof/>
            <w:webHidden/>
          </w:rPr>
          <w:t>16</w:t>
        </w:r>
        <w:r w:rsidR="00482ABC">
          <w:rPr>
            <w:noProof/>
            <w:webHidden/>
          </w:rPr>
          <w:fldChar w:fldCharType="end"/>
        </w:r>
      </w:hyperlink>
    </w:p>
    <w:p w14:paraId="415640C5" w14:textId="548E92DE" w:rsidR="00482ABC" w:rsidRDefault="00243862" w:rsidP="00482ABC">
      <w:pPr>
        <w:pStyle w:val="TableofFigures"/>
        <w:tabs>
          <w:tab w:val="right" w:leader="dot" w:pos="9016"/>
        </w:tabs>
        <w:spacing w:after="120"/>
        <w:rPr>
          <w:rFonts w:eastAsiaTheme="minorEastAsia" w:cstheme="minorBidi"/>
          <w:noProof/>
          <w:sz w:val="22"/>
          <w:szCs w:val="22"/>
          <w:lang w:eastAsia="en-GB"/>
        </w:rPr>
      </w:pPr>
      <w:hyperlink w:anchor="_Toc13644479" w:history="1">
        <w:r w:rsidR="00482ABC" w:rsidRPr="00482ABC">
          <w:rPr>
            <w:rStyle w:val="Hyperlink"/>
            <w:b/>
            <w:noProof/>
          </w:rPr>
          <w:t>Figure 3</w:t>
        </w:r>
        <w:r w:rsidR="00482ABC" w:rsidRPr="0024621A">
          <w:rPr>
            <w:rStyle w:val="Hyperlink"/>
            <w:noProof/>
          </w:rPr>
          <w:t xml:space="preserve"> Length of stay for people in hospital who were reported by providers as being present at the end of the November 2018 in the MHSDS</w:t>
        </w:r>
        <w:r w:rsidR="00482ABC">
          <w:rPr>
            <w:noProof/>
            <w:webHidden/>
          </w:rPr>
          <w:tab/>
        </w:r>
        <w:r w:rsidR="00482ABC">
          <w:rPr>
            <w:noProof/>
            <w:webHidden/>
          </w:rPr>
          <w:fldChar w:fldCharType="begin"/>
        </w:r>
        <w:r w:rsidR="00482ABC">
          <w:rPr>
            <w:noProof/>
            <w:webHidden/>
          </w:rPr>
          <w:instrText xml:space="preserve"> PAGEREF _Toc13644479 \h </w:instrText>
        </w:r>
        <w:r w:rsidR="00482ABC">
          <w:rPr>
            <w:noProof/>
            <w:webHidden/>
          </w:rPr>
        </w:r>
        <w:r w:rsidR="00482ABC">
          <w:rPr>
            <w:noProof/>
            <w:webHidden/>
          </w:rPr>
          <w:fldChar w:fldCharType="separate"/>
        </w:r>
        <w:r w:rsidR="00657C12">
          <w:rPr>
            <w:noProof/>
            <w:webHidden/>
          </w:rPr>
          <w:t>17</w:t>
        </w:r>
        <w:r w:rsidR="00482ABC">
          <w:rPr>
            <w:noProof/>
            <w:webHidden/>
          </w:rPr>
          <w:fldChar w:fldCharType="end"/>
        </w:r>
      </w:hyperlink>
    </w:p>
    <w:p w14:paraId="24FF98BD" w14:textId="68D540A5" w:rsidR="00482ABC" w:rsidRDefault="00243862" w:rsidP="00482ABC">
      <w:pPr>
        <w:pStyle w:val="TableofFigures"/>
        <w:tabs>
          <w:tab w:val="right" w:leader="dot" w:pos="9016"/>
        </w:tabs>
        <w:spacing w:after="120"/>
        <w:rPr>
          <w:rFonts w:eastAsiaTheme="minorEastAsia" w:cstheme="minorBidi"/>
          <w:noProof/>
          <w:sz w:val="22"/>
          <w:szCs w:val="22"/>
          <w:lang w:eastAsia="en-GB"/>
        </w:rPr>
      </w:pPr>
      <w:hyperlink w:anchor="_Toc13644480" w:history="1">
        <w:r w:rsidR="00482ABC" w:rsidRPr="00482ABC">
          <w:rPr>
            <w:rStyle w:val="Hyperlink"/>
            <w:b/>
            <w:noProof/>
          </w:rPr>
          <w:t xml:space="preserve">Figure 4 </w:t>
        </w:r>
        <w:r w:rsidR="00482ABC" w:rsidRPr="0024621A">
          <w:rPr>
            <w:rStyle w:val="Hyperlink"/>
            <w:noProof/>
          </w:rPr>
          <w:t>NHS Trust provided specialist learning disability beds since 1987</w:t>
        </w:r>
        <w:r w:rsidR="00482ABC">
          <w:rPr>
            <w:noProof/>
            <w:webHidden/>
          </w:rPr>
          <w:tab/>
        </w:r>
        <w:r w:rsidR="00482ABC">
          <w:rPr>
            <w:noProof/>
            <w:webHidden/>
          </w:rPr>
          <w:fldChar w:fldCharType="begin"/>
        </w:r>
        <w:r w:rsidR="00482ABC">
          <w:rPr>
            <w:noProof/>
            <w:webHidden/>
          </w:rPr>
          <w:instrText xml:space="preserve"> PAGEREF _Toc13644480 \h </w:instrText>
        </w:r>
        <w:r w:rsidR="00482ABC">
          <w:rPr>
            <w:noProof/>
            <w:webHidden/>
          </w:rPr>
        </w:r>
        <w:r w:rsidR="00482ABC">
          <w:rPr>
            <w:noProof/>
            <w:webHidden/>
          </w:rPr>
          <w:fldChar w:fldCharType="separate"/>
        </w:r>
        <w:r w:rsidR="00657C12">
          <w:rPr>
            <w:noProof/>
            <w:webHidden/>
          </w:rPr>
          <w:t>18</w:t>
        </w:r>
        <w:r w:rsidR="00482ABC">
          <w:rPr>
            <w:noProof/>
            <w:webHidden/>
          </w:rPr>
          <w:fldChar w:fldCharType="end"/>
        </w:r>
      </w:hyperlink>
    </w:p>
    <w:p w14:paraId="7C9355F6" w14:textId="11292E15" w:rsidR="00482ABC" w:rsidRDefault="00243862" w:rsidP="00482ABC">
      <w:pPr>
        <w:pStyle w:val="TableofFigures"/>
        <w:tabs>
          <w:tab w:val="right" w:leader="dot" w:pos="9016"/>
        </w:tabs>
        <w:spacing w:after="120"/>
        <w:rPr>
          <w:rFonts w:eastAsiaTheme="minorEastAsia" w:cstheme="minorBidi"/>
          <w:noProof/>
          <w:sz w:val="22"/>
          <w:szCs w:val="22"/>
          <w:lang w:eastAsia="en-GB"/>
        </w:rPr>
      </w:pPr>
      <w:hyperlink w:anchor="_Toc13644481" w:history="1">
        <w:r w:rsidR="00482ABC" w:rsidRPr="00482ABC">
          <w:rPr>
            <w:rStyle w:val="Hyperlink"/>
            <w:b/>
            <w:noProof/>
          </w:rPr>
          <w:t>Figure 5</w:t>
        </w:r>
        <w:r w:rsidR="00482ABC" w:rsidRPr="0024621A">
          <w:rPr>
            <w:rStyle w:val="Hyperlink"/>
            <w:noProof/>
          </w:rPr>
          <w:t xml:space="preserve"> NHS England specialist learning disability beds 2016 - 2019, the blue column shows the number of beds available, the red column shows the number of beds occupied, and green line shows the percentage occupancy rate</w:t>
        </w:r>
        <w:r w:rsidR="00482ABC">
          <w:rPr>
            <w:noProof/>
            <w:webHidden/>
          </w:rPr>
          <w:tab/>
        </w:r>
        <w:r w:rsidR="00482ABC">
          <w:rPr>
            <w:noProof/>
            <w:webHidden/>
          </w:rPr>
          <w:fldChar w:fldCharType="begin"/>
        </w:r>
        <w:r w:rsidR="00482ABC">
          <w:rPr>
            <w:noProof/>
            <w:webHidden/>
          </w:rPr>
          <w:instrText xml:space="preserve"> PAGEREF _Toc13644481 \h </w:instrText>
        </w:r>
        <w:r w:rsidR="00482ABC">
          <w:rPr>
            <w:noProof/>
            <w:webHidden/>
          </w:rPr>
        </w:r>
        <w:r w:rsidR="00482ABC">
          <w:rPr>
            <w:noProof/>
            <w:webHidden/>
          </w:rPr>
          <w:fldChar w:fldCharType="separate"/>
        </w:r>
        <w:r w:rsidR="00657C12">
          <w:rPr>
            <w:noProof/>
            <w:webHidden/>
          </w:rPr>
          <w:t>19</w:t>
        </w:r>
        <w:r w:rsidR="00482ABC">
          <w:rPr>
            <w:noProof/>
            <w:webHidden/>
          </w:rPr>
          <w:fldChar w:fldCharType="end"/>
        </w:r>
      </w:hyperlink>
    </w:p>
    <w:p w14:paraId="3B55AD43" w14:textId="7D1187F1" w:rsidR="00482ABC" w:rsidRDefault="00243862" w:rsidP="00482ABC">
      <w:pPr>
        <w:pStyle w:val="TableofFigures"/>
        <w:tabs>
          <w:tab w:val="right" w:leader="dot" w:pos="9016"/>
        </w:tabs>
        <w:spacing w:after="120"/>
        <w:rPr>
          <w:rFonts w:eastAsiaTheme="minorEastAsia" w:cstheme="minorBidi"/>
          <w:noProof/>
          <w:sz w:val="22"/>
          <w:szCs w:val="22"/>
          <w:lang w:eastAsia="en-GB"/>
        </w:rPr>
      </w:pPr>
      <w:hyperlink w:anchor="_Toc13644482" w:history="1">
        <w:r w:rsidR="00482ABC" w:rsidRPr="00482ABC">
          <w:rPr>
            <w:rStyle w:val="Hyperlink"/>
            <w:b/>
            <w:noProof/>
          </w:rPr>
          <w:t xml:space="preserve">Figure 6 </w:t>
        </w:r>
        <w:r w:rsidR="00482ABC" w:rsidRPr="0024621A">
          <w:rPr>
            <w:rStyle w:val="Hyperlink"/>
            <w:noProof/>
          </w:rPr>
          <w:t xml:space="preserve"> Location of Specialist Independent Hospitals, by the number of beds provided, registered with the CQC for assessment and treatment of Learning Disabled and/or Autistic People</w:t>
        </w:r>
        <w:r w:rsidR="00482ABC">
          <w:rPr>
            <w:noProof/>
            <w:webHidden/>
          </w:rPr>
          <w:tab/>
        </w:r>
        <w:r w:rsidR="00482ABC">
          <w:rPr>
            <w:noProof/>
            <w:webHidden/>
          </w:rPr>
          <w:fldChar w:fldCharType="begin"/>
        </w:r>
        <w:r w:rsidR="00482ABC">
          <w:rPr>
            <w:noProof/>
            <w:webHidden/>
          </w:rPr>
          <w:instrText xml:space="preserve"> PAGEREF _Toc13644482 \h </w:instrText>
        </w:r>
        <w:r w:rsidR="00482ABC">
          <w:rPr>
            <w:noProof/>
            <w:webHidden/>
          </w:rPr>
        </w:r>
        <w:r w:rsidR="00482ABC">
          <w:rPr>
            <w:noProof/>
            <w:webHidden/>
          </w:rPr>
          <w:fldChar w:fldCharType="separate"/>
        </w:r>
        <w:r w:rsidR="00657C12">
          <w:rPr>
            <w:noProof/>
            <w:webHidden/>
          </w:rPr>
          <w:t>24</w:t>
        </w:r>
        <w:r w:rsidR="00482ABC">
          <w:rPr>
            <w:noProof/>
            <w:webHidden/>
          </w:rPr>
          <w:fldChar w:fldCharType="end"/>
        </w:r>
      </w:hyperlink>
    </w:p>
    <w:p w14:paraId="4827487D" w14:textId="2ECFC6FD" w:rsidR="00E1740F" w:rsidRDefault="00E1740F" w:rsidP="00E1740F">
      <w:pPr>
        <w:spacing w:after="120"/>
      </w:pPr>
      <w:r>
        <w:fldChar w:fldCharType="end"/>
      </w:r>
    </w:p>
    <w:p w14:paraId="0484FA1C" w14:textId="329C0CCE" w:rsidR="00E1740F" w:rsidRPr="007C37EB" w:rsidRDefault="00E1740F" w:rsidP="00B12F43">
      <w:pPr>
        <w:pStyle w:val="Heading1"/>
        <w:rPr>
          <w:rStyle w:val="Heading1Char"/>
          <w:b/>
        </w:rPr>
      </w:pPr>
      <w:r>
        <w:rPr>
          <w:rStyle w:val="Heading1Char"/>
          <w:b/>
        </w:rPr>
        <w:t>Tables</w:t>
      </w:r>
    </w:p>
    <w:p w14:paraId="6BA3FCE1" w14:textId="2227CC96" w:rsidR="00E1740F" w:rsidRDefault="00E1740F">
      <w:pPr>
        <w:pStyle w:val="TableofFigures"/>
        <w:tabs>
          <w:tab w:val="right" w:leader="dot" w:pos="9016"/>
        </w:tabs>
        <w:rPr>
          <w:rFonts w:eastAsiaTheme="minorEastAsia" w:cstheme="minorBidi"/>
          <w:noProof/>
          <w:sz w:val="22"/>
          <w:szCs w:val="22"/>
          <w:lang w:eastAsia="en-GB"/>
        </w:rPr>
      </w:pPr>
      <w:r>
        <w:fldChar w:fldCharType="begin"/>
      </w:r>
      <w:r>
        <w:instrText xml:space="preserve"> TOC \h \z \t "Table" \c "Table" </w:instrText>
      </w:r>
      <w:r>
        <w:fldChar w:fldCharType="separate"/>
      </w:r>
      <w:hyperlink w:anchor="_Toc12522078" w:history="1">
        <w:r w:rsidRPr="00E1740F">
          <w:rPr>
            <w:rStyle w:val="Hyperlink"/>
            <w:b/>
            <w:noProof/>
          </w:rPr>
          <w:t>Table 1</w:t>
        </w:r>
        <w:r w:rsidRPr="008D59D1">
          <w:rPr>
            <w:rStyle w:val="Hyperlink"/>
            <w:noProof/>
          </w:rPr>
          <w:t xml:space="preserve"> Brands of Independent Sector Providers of CQC Registered Assessment, Care and Treatment of learning disabled people and people detained under the Mental Health Act</w:t>
        </w:r>
        <w:r>
          <w:rPr>
            <w:noProof/>
            <w:webHidden/>
          </w:rPr>
          <w:tab/>
        </w:r>
        <w:r>
          <w:rPr>
            <w:noProof/>
            <w:webHidden/>
          </w:rPr>
          <w:fldChar w:fldCharType="begin"/>
        </w:r>
        <w:r>
          <w:rPr>
            <w:noProof/>
            <w:webHidden/>
          </w:rPr>
          <w:instrText xml:space="preserve"> PAGEREF _Toc12522078 \h </w:instrText>
        </w:r>
        <w:r>
          <w:rPr>
            <w:noProof/>
            <w:webHidden/>
          </w:rPr>
        </w:r>
        <w:r>
          <w:rPr>
            <w:noProof/>
            <w:webHidden/>
          </w:rPr>
          <w:fldChar w:fldCharType="separate"/>
        </w:r>
        <w:r w:rsidR="00657C12">
          <w:rPr>
            <w:noProof/>
            <w:webHidden/>
          </w:rPr>
          <w:t>20</w:t>
        </w:r>
        <w:r>
          <w:rPr>
            <w:noProof/>
            <w:webHidden/>
          </w:rPr>
          <w:fldChar w:fldCharType="end"/>
        </w:r>
      </w:hyperlink>
    </w:p>
    <w:p w14:paraId="533B3E38" w14:textId="6B3EA294" w:rsidR="00E1740F" w:rsidRDefault="00E1740F" w:rsidP="000F0BEC">
      <w:r>
        <w:fldChar w:fldCharType="end"/>
      </w:r>
    </w:p>
    <w:p w14:paraId="5F6CB54E" w14:textId="77777777" w:rsidR="00E1740F" w:rsidRDefault="00E1740F" w:rsidP="000F0BEC">
      <w:pPr>
        <w:sectPr w:rsidR="00E1740F" w:rsidSect="00E1740F">
          <w:footerReference w:type="even" r:id="rId18"/>
          <w:pgSz w:w="11906" w:h="16838"/>
          <w:pgMar w:top="1440" w:right="1440" w:bottom="1440" w:left="1440" w:header="709" w:footer="283" w:gutter="0"/>
          <w:cols w:space="708"/>
          <w:docGrid w:linePitch="381"/>
        </w:sectPr>
      </w:pPr>
    </w:p>
    <w:p w14:paraId="67DE5FEB" w14:textId="65313380" w:rsidR="00761F4A" w:rsidRDefault="00B12F43" w:rsidP="00B12F43">
      <w:pPr>
        <w:pStyle w:val="Heading1"/>
      </w:pPr>
      <w:bookmarkStart w:id="8" w:name="_Toc12477542"/>
      <w:r>
        <w:lastRenderedPageBreak/>
        <w:t>1</w:t>
      </w:r>
      <w:r>
        <w:tab/>
      </w:r>
      <w:r w:rsidR="00F97D2E">
        <w:t>An Introduction to</w:t>
      </w:r>
      <w:r w:rsidR="00670600">
        <w:t xml:space="preserve"> Transforming Care</w:t>
      </w:r>
      <w:bookmarkEnd w:id="7"/>
      <w:bookmarkEnd w:id="8"/>
    </w:p>
    <w:p w14:paraId="546BA76C" w14:textId="399103A8" w:rsidR="00817883" w:rsidRDefault="00817883" w:rsidP="000F0BEC">
      <w:r w:rsidRPr="00817883">
        <w:t>Many of the</w:t>
      </w:r>
      <w:r>
        <w:t xml:space="preserve"> </w:t>
      </w:r>
      <w:r w:rsidRPr="00817883">
        <w:t xml:space="preserve">930,000 </w:t>
      </w:r>
      <w:r w:rsidR="00BF5270">
        <w:t>adults</w:t>
      </w:r>
      <w:r w:rsidRPr="00817883">
        <w:t xml:space="preserve"> </w:t>
      </w:r>
      <w:r w:rsidR="00A860E0">
        <w:t>with learning disabilities i</w:t>
      </w:r>
      <w:r w:rsidRPr="00817883">
        <w:t xml:space="preserve">n England may never use </w:t>
      </w:r>
      <w:r w:rsidR="00BF5270">
        <w:t>specialist health and social care services</w:t>
      </w:r>
      <w:r w:rsidR="00261762">
        <w:rPr>
          <w:rStyle w:val="FootnoteReference"/>
        </w:rPr>
        <w:footnoteReference w:id="1"/>
      </w:r>
      <w:r w:rsidRPr="00817883">
        <w:t xml:space="preserve">. There are </w:t>
      </w:r>
      <w:r w:rsidR="004D28F1">
        <w:t>147,915</w:t>
      </w:r>
      <w:r w:rsidRPr="00817883">
        <w:t xml:space="preserve"> adults who receive local authority social care</w:t>
      </w:r>
      <w:r>
        <w:t xml:space="preserve"> </w:t>
      </w:r>
      <w:r w:rsidRPr="00817883">
        <w:t>support</w:t>
      </w:r>
      <w:r w:rsidR="00EA7144">
        <w:t>, a fifth (</w:t>
      </w:r>
      <w:r w:rsidR="004D28F1">
        <w:t>33,140</w:t>
      </w:r>
      <w:r w:rsidR="00EA7144">
        <w:t>) of whom</w:t>
      </w:r>
      <w:r w:rsidRPr="00817883">
        <w:t xml:space="preserve"> live in residential care or nursing homes</w:t>
      </w:r>
      <w:r w:rsidR="009309A2">
        <w:rPr>
          <w:rStyle w:val="FootnoteReference"/>
        </w:rPr>
        <w:footnoteReference w:id="2"/>
      </w:r>
      <w:r w:rsidRPr="00817883">
        <w:t xml:space="preserve">. Around </w:t>
      </w:r>
      <w:r w:rsidR="009309A2">
        <w:t>2</w:t>
      </w:r>
      <w:r w:rsidR="00EA7144">
        <w:t>,</w:t>
      </w:r>
      <w:r w:rsidR="009309A2">
        <w:t>6</w:t>
      </w:r>
      <w:r w:rsidR="00EA7144">
        <w:t>00</w:t>
      </w:r>
      <w:r w:rsidR="009309A2">
        <w:t xml:space="preserve"> (2%</w:t>
      </w:r>
      <w:r w:rsidRPr="00817883">
        <w:t xml:space="preserve">), of </w:t>
      </w:r>
      <w:r w:rsidR="009309A2">
        <w:t xml:space="preserve">people </w:t>
      </w:r>
      <w:r w:rsidR="00A860E0">
        <w:t xml:space="preserve">with learning disabilities </w:t>
      </w:r>
      <w:r w:rsidR="009309A2">
        <w:t>are in long stay NHS and private hospital beds</w:t>
      </w:r>
      <w:r w:rsidR="0063660E">
        <w:t xml:space="preserve"> in specialist units</w:t>
      </w:r>
      <w:r w:rsidR="009309A2">
        <w:t xml:space="preserve">, some of which are secure facilities.  </w:t>
      </w:r>
      <w:r w:rsidR="00A860E0">
        <w:t>P</w:t>
      </w:r>
      <w:r w:rsidR="009309A2">
        <w:t xml:space="preserve">eople </w:t>
      </w:r>
      <w:r w:rsidR="00A860E0">
        <w:t xml:space="preserve">with learning disabilities </w:t>
      </w:r>
      <w:r w:rsidR="009309A2">
        <w:t>are more likely to experience a long stay in hospital than people without a learning disability</w:t>
      </w:r>
      <w:r w:rsidR="009309A2">
        <w:rPr>
          <w:rStyle w:val="FootnoteReference"/>
        </w:rPr>
        <w:footnoteReference w:id="3"/>
      </w:r>
      <w:r w:rsidR="009309A2">
        <w:t>.</w:t>
      </w:r>
    </w:p>
    <w:p w14:paraId="4A957904" w14:textId="7D2EEB69" w:rsidR="00EF7156" w:rsidRPr="00EF7156" w:rsidRDefault="00BE0AEA" w:rsidP="000F0BEC">
      <w:r w:rsidRPr="00523164">
        <w:t xml:space="preserve">On 31st May 2011 the BBC </w:t>
      </w:r>
      <w:r w:rsidR="00A860E0">
        <w:t xml:space="preserve">television </w:t>
      </w:r>
      <w:r w:rsidRPr="00523164">
        <w:t xml:space="preserve">programme </w:t>
      </w:r>
      <w:hyperlink r:id="rId19" w:history="1">
        <w:r w:rsidRPr="008D4CCE">
          <w:rPr>
            <w:rStyle w:val="Hyperlink"/>
            <w:i/>
          </w:rPr>
          <w:t>Panorama's Undercover Care: The Abuse Exposed</w:t>
        </w:r>
      </w:hyperlink>
      <w:r w:rsidRPr="00523164">
        <w:rPr>
          <w:i/>
        </w:rPr>
        <w:t xml:space="preserve"> </w:t>
      </w:r>
      <w:r w:rsidRPr="00523164">
        <w:t xml:space="preserve">was broadcast. </w:t>
      </w:r>
      <w:r>
        <w:t>The programme was an</w:t>
      </w:r>
      <w:r w:rsidR="00EF7156" w:rsidRPr="00EF7156">
        <w:t xml:space="preserve"> undercover investigation of a specialist</w:t>
      </w:r>
      <w:r w:rsidR="00E226AE">
        <w:t xml:space="preserve"> hospital</w:t>
      </w:r>
      <w:r w:rsidR="00EF7156" w:rsidRPr="00EF7156">
        <w:t xml:space="preserve"> for </w:t>
      </w:r>
      <w:r w:rsidR="00A860E0">
        <w:t>people with learning disabilities</w:t>
      </w:r>
      <w:r w:rsidR="00D909DA">
        <w:t xml:space="preserve"> and/or auti</w:t>
      </w:r>
      <w:r w:rsidR="00A860E0">
        <w:t>sm</w:t>
      </w:r>
      <w:r w:rsidR="00EF7156" w:rsidRPr="00EF7156">
        <w:t xml:space="preserve">, Winterbourne View, </w:t>
      </w:r>
      <w:r w:rsidR="00D601E4">
        <w:t xml:space="preserve">which </w:t>
      </w:r>
      <w:r w:rsidR="00EF7156" w:rsidRPr="00EF7156">
        <w:t xml:space="preserve">revealed to the public </w:t>
      </w:r>
      <w:r>
        <w:t>wilful</w:t>
      </w:r>
      <w:r w:rsidR="00EF7156" w:rsidRPr="00EF7156">
        <w:t xml:space="preserve"> abuse</w:t>
      </w:r>
      <w:r>
        <w:t xml:space="preserve"> and neglect</w:t>
      </w:r>
      <w:r w:rsidR="00EF7156" w:rsidRPr="00EF7156">
        <w:t xml:space="preserve"> from staff</w:t>
      </w:r>
      <w:r w:rsidR="00D601E4">
        <w:t xml:space="preserve"> towards people detained </w:t>
      </w:r>
      <w:r w:rsidR="00936799">
        <w:t xml:space="preserve">under the </w:t>
      </w:r>
      <w:hyperlink r:id="rId20" w:history="1">
        <w:r w:rsidR="00936799" w:rsidRPr="00936799">
          <w:rPr>
            <w:rStyle w:val="Hyperlink"/>
          </w:rPr>
          <w:t>Mental Health Act 1983</w:t>
        </w:r>
      </w:hyperlink>
      <w:r w:rsidR="00936799">
        <w:t xml:space="preserve"> or </w:t>
      </w:r>
      <w:hyperlink r:id="rId21" w:history="1">
        <w:r w:rsidR="00936799" w:rsidRPr="00936799">
          <w:rPr>
            <w:rStyle w:val="Hyperlink"/>
          </w:rPr>
          <w:t>Mental Capacity Act 2005</w:t>
        </w:r>
      </w:hyperlink>
      <w:r w:rsidR="00936799">
        <w:t xml:space="preserve"> </w:t>
      </w:r>
      <w:r w:rsidR="00D601E4">
        <w:t>for</w:t>
      </w:r>
      <w:r w:rsidR="00936799">
        <w:t xml:space="preserve"> the purposes of</w:t>
      </w:r>
      <w:r w:rsidR="00D601E4">
        <w:t xml:space="preserve"> care and treatment</w:t>
      </w:r>
      <w:r>
        <w:t xml:space="preserve">.  </w:t>
      </w:r>
      <w:r w:rsidRPr="00523164">
        <w:t>It would lead to the prosecution and conviction of 11 members of staff, the closure of Winterbourne View Hospital and a flurry of activity on the part of</w:t>
      </w:r>
      <w:r>
        <w:t xml:space="preserve"> the UK</w:t>
      </w:r>
      <w:r w:rsidRPr="00523164">
        <w:t xml:space="preserve"> government to try and establish why </w:t>
      </w:r>
      <w:r w:rsidR="00A860E0">
        <w:t>the abuse</w:t>
      </w:r>
      <w:r w:rsidR="00A860E0" w:rsidRPr="00523164">
        <w:t xml:space="preserve"> </w:t>
      </w:r>
      <w:r w:rsidRPr="00523164">
        <w:t>had happened and how it could be prevented from happening</w:t>
      </w:r>
      <w:r w:rsidR="009574DB">
        <w:t xml:space="preserve"> in the future. </w:t>
      </w:r>
      <w:r>
        <w:t xml:space="preserve"> </w:t>
      </w:r>
      <w:r w:rsidR="009574DB">
        <w:t xml:space="preserve">This also brought </w:t>
      </w:r>
      <w:r w:rsidRPr="00EF7156">
        <w:t xml:space="preserve">into the light that an unknown number of people (in the thousands) were </w:t>
      </w:r>
      <w:r>
        <w:t>detained in</w:t>
      </w:r>
      <w:r w:rsidRPr="00EF7156">
        <w:t xml:space="preserve"> </w:t>
      </w:r>
      <w:r>
        <w:t>these units</w:t>
      </w:r>
      <w:r w:rsidRPr="00EF7156">
        <w:t xml:space="preserve"> (both NHS and private sector), sometimes for decade</w:t>
      </w:r>
      <w:r w:rsidR="00F06042">
        <w:t>s</w:t>
      </w:r>
      <w:r w:rsidR="002838AD">
        <w:t xml:space="preserve">.  People detained in the units were also found to be </w:t>
      </w:r>
      <w:r w:rsidRPr="00EF7156">
        <w:t>experiencing seclusion, restraint, assault and antipsychotic medication rather than effective support to help people move on</w:t>
      </w:r>
      <w:r w:rsidR="006E6729">
        <w:rPr>
          <w:rStyle w:val="FootnoteReference"/>
        </w:rPr>
        <w:footnoteReference w:id="4"/>
      </w:r>
      <w:r w:rsidR="006E6729">
        <w:t xml:space="preserve"> at a cost of over £477 million a year</w:t>
      </w:r>
      <w:r w:rsidR="006F5B34">
        <w:rPr>
          <w:rStyle w:val="FootnoteReference"/>
        </w:rPr>
        <w:footnoteReference w:id="5"/>
      </w:r>
      <w:r w:rsidR="006F5B34">
        <w:t>.</w:t>
      </w:r>
    </w:p>
    <w:p w14:paraId="0C8AFEB2" w14:textId="7C348C9D" w:rsidR="00B501D6" w:rsidRDefault="00EF7156" w:rsidP="000F0BEC">
      <w:r w:rsidRPr="00EF7156">
        <w:t xml:space="preserve">In 2012 the government </w:t>
      </w:r>
      <w:r w:rsidR="00DA200F">
        <w:t>conducted an i</w:t>
      </w:r>
      <w:r w:rsidR="00DA200F" w:rsidRPr="00523164">
        <w:t xml:space="preserve">nquiry that would lead to the publication of </w:t>
      </w:r>
      <w:hyperlink r:id="rId22" w:history="1">
        <w:r w:rsidR="00DA200F" w:rsidRPr="00523164">
          <w:rPr>
            <w:rStyle w:val="Hyperlink"/>
          </w:rPr>
          <w:t>Transforming Care: A National Response to Winterbourne View Hospital</w:t>
        </w:r>
      </w:hyperlink>
      <w:r w:rsidR="00DA200F" w:rsidRPr="00523164">
        <w:t xml:space="preserve"> which was jointly published with a </w:t>
      </w:r>
      <w:hyperlink r:id="rId23" w:history="1">
        <w:r w:rsidR="00DA200F" w:rsidRPr="00523164">
          <w:rPr>
            <w:rStyle w:val="Hyperlink"/>
          </w:rPr>
          <w:t>Concordat: Programme of Action</w:t>
        </w:r>
      </w:hyperlink>
      <w:r w:rsidR="00ED52D3">
        <w:t xml:space="preserve">.  </w:t>
      </w:r>
      <w:r w:rsidR="004E58AC">
        <w:t xml:space="preserve">Fifty-one </w:t>
      </w:r>
      <w:r w:rsidR="007576B1">
        <w:t xml:space="preserve">organisations signed up to </w:t>
      </w:r>
      <w:r w:rsidR="00ED52D3">
        <w:t xml:space="preserve">support the Concordat, however the government </w:t>
      </w:r>
      <w:r w:rsidR="00ED52D3" w:rsidRPr="00ED52D3">
        <w:t>did</w:t>
      </w:r>
      <w:r w:rsidR="001564C9">
        <w:t xml:space="preserve"> </w:t>
      </w:r>
      <w:r w:rsidR="00ED52D3" w:rsidRPr="00ED52D3">
        <w:t xml:space="preserve">not ask </w:t>
      </w:r>
      <w:r w:rsidR="004E58AC">
        <w:t xml:space="preserve">the agencies who were responsible for commissioning or providing inpatient beds to do so.  As a result </w:t>
      </w:r>
      <w:r w:rsidR="00ED52D3" w:rsidRPr="00ED52D3">
        <w:t>clinical commissioning groups, local authorities and mental health hospitals</w:t>
      </w:r>
      <w:r w:rsidR="001564C9">
        <w:t xml:space="preserve"> </w:t>
      </w:r>
      <w:r w:rsidR="004E58AC">
        <w:t>were not asked to</w:t>
      </w:r>
      <w:r w:rsidR="00ED52D3" w:rsidRPr="00ED52D3">
        <w:t xml:space="preserve"> sign up to the Concordat</w:t>
      </w:r>
      <w:r w:rsidR="007576B1">
        <w:t xml:space="preserve">. </w:t>
      </w:r>
      <w:r w:rsidR="00DC5B3A">
        <w:t xml:space="preserve"> </w:t>
      </w:r>
      <w:r w:rsidR="00DA200F">
        <w:t>The</w:t>
      </w:r>
      <w:r w:rsidR="00761F4A" w:rsidRPr="00523164">
        <w:t xml:space="preserve"> Concordat </w:t>
      </w:r>
      <w:r w:rsidR="007576B1">
        <w:t>outlined</w:t>
      </w:r>
      <w:r w:rsidR="00761F4A" w:rsidRPr="00523164">
        <w:t xml:space="preserve"> a number of objectives</w:t>
      </w:r>
      <w:r w:rsidR="00943ADD">
        <w:t xml:space="preserve"> which centred around one key commitment, that by 1</w:t>
      </w:r>
      <w:r w:rsidR="00943ADD" w:rsidRPr="00943ADD">
        <w:rPr>
          <w:vertAlign w:val="superscript"/>
        </w:rPr>
        <w:t>st</w:t>
      </w:r>
      <w:r w:rsidR="00943ADD">
        <w:t xml:space="preserve"> June 2014 everyone with a learning disability who would </w:t>
      </w:r>
      <w:r w:rsidR="00943ADD">
        <w:lastRenderedPageBreak/>
        <w:t>be better supported in the community would be moved out of hospital</w:t>
      </w:r>
      <w:r w:rsidR="0011329D">
        <w:t xml:space="preserve"> and for the beds to be closed</w:t>
      </w:r>
      <w:r w:rsidR="00DC5B3A">
        <w:rPr>
          <w:rStyle w:val="FootnoteReference"/>
        </w:rPr>
        <w:footnoteReference w:id="6"/>
      </w:r>
      <w:r w:rsidR="0011329D">
        <w:t xml:space="preserve">.  </w:t>
      </w:r>
    </w:p>
    <w:p w14:paraId="3A7A699F" w14:textId="5E0DE0C5" w:rsidR="001564C9" w:rsidRPr="00523164" w:rsidRDefault="00943ADD" w:rsidP="000F0BEC">
      <w:r>
        <w:t>T</w:t>
      </w:r>
      <w:r w:rsidR="00C101CD">
        <w:t xml:space="preserve">he programme failed in its ambition to keep </w:t>
      </w:r>
      <w:r w:rsidR="00482ABC">
        <w:rPr>
          <w:lang w:eastAsia="en-GB"/>
        </w:rPr>
        <w:t xml:space="preserve">people with learning disabilities </w:t>
      </w:r>
      <w:r w:rsidR="00C101CD">
        <w:t>out of hospital</w:t>
      </w:r>
      <w:r w:rsidR="001564C9">
        <w:t>, accepting in its</w:t>
      </w:r>
      <w:r w:rsidR="00AB13A3">
        <w:t xml:space="preserve"> 2014</w:t>
      </w:r>
      <w:r w:rsidR="001564C9">
        <w:t xml:space="preserve"> report </w:t>
      </w:r>
      <w:hyperlink r:id="rId24" w:history="1">
        <w:r w:rsidR="001564C9" w:rsidRPr="00523164">
          <w:rPr>
            <w:rStyle w:val="Hyperlink"/>
          </w:rPr>
          <w:t>Winterbourne View – Time for Change</w:t>
        </w:r>
      </w:hyperlink>
      <w:r w:rsidR="001564C9" w:rsidRPr="00523164">
        <w:t xml:space="preserve"> </w:t>
      </w:r>
      <w:r w:rsidR="001564C9">
        <w:t>that:</w:t>
      </w:r>
    </w:p>
    <w:p w14:paraId="0532C977" w14:textId="39F9DEC2" w:rsidR="001564C9" w:rsidRPr="001203EE" w:rsidRDefault="001564C9" w:rsidP="000F0BEC">
      <w:r>
        <w:t>“</w:t>
      </w:r>
      <w:r w:rsidRPr="00482ABC">
        <w:rPr>
          <w:i/>
        </w:rPr>
        <w:t>we make it too hard for stakeholders across the system to make change happen, and too easy to continue with the status quo. And we do not give enough power or support to the people most eager and best placed to make things change – starting with people with learning disabilities and/or autism themselves and their families</w:t>
      </w:r>
      <w:r>
        <w:t>”</w:t>
      </w:r>
      <w:r w:rsidR="001203EE">
        <w:t xml:space="preserve"> (p.9)</w:t>
      </w:r>
    </w:p>
    <w:p w14:paraId="5B75ADC6" w14:textId="380CD407" w:rsidR="00AB13A3" w:rsidRDefault="00AB13A3" w:rsidP="000F0BEC">
      <w:r>
        <w:t xml:space="preserve">Key recommendations </w:t>
      </w:r>
      <w:r w:rsidR="002F6B2D">
        <w:t xml:space="preserve">from the Transforming Care and Commissioning steering group </w:t>
      </w:r>
      <w:r>
        <w:t>were that:</w:t>
      </w:r>
    </w:p>
    <w:p w14:paraId="31EE2A1B" w14:textId="27ADCC29" w:rsidR="00AB13A3" w:rsidRPr="00AB13A3" w:rsidRDefault="00F06042" w:rsidP="000F0BEC">
      <w:pPr>
        <w:pStyle w:val="ListParagraph"/>
        <w:numPr>
          <w:ilvl w:val="0"/>
          <w:numId w:val="15"/>
        </w:numPr>
      </w:pPr>
      <w:r>
        <w:t>The g</w:t>
      </w:r>
      <w:r w:rsidR="00AB13A3" w:rsidRPr="00AB13A3">
        <w:t>overnment should draw up a Charter of Rights for people with learning disabilities and/or autism and their families, and it should underpin all commissioning.</w:t>
      </w:r>
    </w:p>
    <w:p w14:paraId="72009F19" w14:textId="1BAEA44B" w:rsidR="00AB13A3" w:rsidRDefault="00AB13A3" w:rsidP="000F0BEC">
      <w:pPr>
        <w:pStyle w:val="ListParagraph"/>
        <w:numPr>
          <w:ilvl w:val="0"/>
          <w:numId w:val="15"/>
        </w:numPr>
      </w:pPr>
      <w:r w:rsidRPr="00AB13A3">
        <w:t>People with learning disabilities and/or autism should be given a ‘right to challenge’ their admission or continued placement in inpatient care.</w:t>
      </w:r>
    </w:p>
    <w:p w14:paraId="15E18061" w14:textId="3A87A4DC" w:rsidR="00AB13A3" w:rsidRDefault="00AB13A3" w:rsidP="000F0BEC">
      <w:pPr>
        <w:pStyle w:val="ListParagraph"/>
        <w:numPr>
          <w:ilvl w:val="0"/>
          <w:numId w:val="15"/>
        </w:numPr>
      </w:pPr>
      <w:r w:rsidRPr="00AB13A3">
        <w:t>NHS England should extend the right to have a personal budget (or personal health budget) to more people with learning disabilities and/or autism, along with support to manage those budgets</w:t>
      </w:r>
      <w:r>
        <w:t>.</w:t>
      </w:r>
    </w:p>
    <w:p w14:paraId="00CC5654" w14:textId="114E2AE2" w:rsidR="00AB13A3" w:rsidRDefault="00F06042" w:rsidP="000F0BEC">
      <w:pPr>
        <w:pStyle w:val="ListParagraph"/>
        <w:numPr>
          <w:ilvl w:val="0"/>
          <w:numId w:val="15"/>
        </w:numPr>
      </w:pPr>
      <w:r>
        <w:t>The g</w:t>
      </w:r>
      <w:r w:rsidR="00AB13A3" w:rsidRPr="00AB13A3">
        <w:t>overnment should look at ways to protect an individual’s home tenancy when they are admitted to hospital, so that people do not lose their homes on admission and end up needing to find new suitable accommodation to enable discharge</w:t>
      </w:r>
      <w:r w:rsidR="00B501D6">
        <w:t>.</w:t>
      </w:r>
    </w:p>
    <w:p w14:paraId="3F813197" w14:textId="3ED693C8" w:rsidR="00AB13A3" w:rsidRPr="00AB13A3" w:rsidRDefault="00F06042" w:rsidP="000F0BEC">
      <w:pPr>
        <w:pStyle w:val="ListParagraph"/>
        <w:numPr>
          <w:ilvl w:val="0"/>
          <w:numId w:val="15"/>
        </w:numPr>
      </w:pPr>
      <w:r>
        <w:t>The g</w:t>
      </w:r>
      <w:r w:rsidR="00AB13A3" w:rsidRPr="00AB13A3">
        <w:t>overnment and NHS England should force the pace on commissioning by requiring local commissioners to follow a mandatory framework</w:t>
      </w:r>
      <w:r w:rsidR="00B501D6">
        <w:t>.</w:t>
      </w:r>
    </w:p>
    <w:p w14:paraId="08A6D115" w14:textId="7FDB12AE" w:rsidR="00AB13A3" w:rsidRDefault="00B501D6" w:rsidP="000F0BEC">
      <w:pPr>
        <w:pStyle w:val="ListParagraph"/>
        <w:numPr>
          <w:ilvl w:val="0"/>
          <w:numId w:val="15"/>
        </w:numPr>
      </w:pPr>
      <w:r w:rsidRPr="00B501D6">
        <w:t>Community-based providers should be given a ‘right to propose alternatives’ to inpatient care</w:t>
      </w:r>
      <w:r>
        <w:t>.</w:t>
      </w:r>
    </w:p>
    <w:p w14:paraId="12689B65" w14:textId="011279AB" w:rsidR="00B501D6" w:rsidRDefault="00B501D6" w:rsidP="000F0BEC">
      <w:pPr>
        <w:pStyle w:val="ListParagraph"/>
        <w:numPr>
          <w:ilvl w:val="0"/>
          <w:numId w:val="15"/>
        </w:numPr>
      </w:pPr>
      <w:r w:rsidRPr="00B501D6">
        <w:t>The commissioning framework should be accompanied by a by a closure programme of inappropriate institutional inpatient facilities, driven by tougher registration requirements, local closure plans, and leadership by NHS England</w:t>
      </w:r>
      <w:r>
        <w:t>.</w:t>
      </w:r>
    </w:p>
    <w:p w14:paraId="3CD2436D" w14:textId="3F636D34" w:rsidR="00B501D6" w:rsidRDefault="00B501D6" w:rsidP="000F0BEC">
      <w:pPr>
        <w:pStyle w:val="ListParagraph"/>
        <w:numPr>
          <w:ilvl w:val="0"/>
          <w:numId w:val="15"/>
        </w:numPr>
      </w:pPr>
      <w:r w:rsidRPr="00B501D6">
        <w:t>Health Education England, Skills for Care, Skills for Health and partners should develop as a priority a national workforce ‘Academy’ in this field, building on the work already started by Professors Allen and Hastings and colleagues</w:t>
      </w:r>
      <w:r>
        <w:t>.</w:t>
      </w:r>
    </w:p>
    <w:p w14:paraId="7FA5CD66" w14:textId="77777777" w:rsidR="00B501D6" w:rsidRPr="00B501D6" w:rsidRDefault="00B501D6" w:rsidP="000F0BEC">
      <w:pPr>
        <w:pStyle w:val="ListParagraph"/>
        <w:numPr>
          <w:ilvl w:val="0"/>
          <w:numId w:val="15"/>
        </w:numPr>
      </w:pPr>
      <w:r w:rsidRPr="00B501D6">
        <w:t>A ‘Life in the Community’ Social Investment Fund should be established to facilitate transitions out of inpatient facilities and build capacity in community-based services</w:t>
      </w:r>
      <w:r>
        <w:t>.</w:t>
      </w:r>
      <w:r w:rsidRPr="00B501D6">
        <w:t xml:space="preserve"> </w:t>
      </w:r>
    </w:p>
    <w:p w14:paraId="64613BDB" w14:textId="00094B99" w:rsidR="00B501D6" w:rsidRPr="00AB13A3" w:rsidRDefault="00B501D6" w:rsidP="000F0BEC">
      <w:pPr>
        <w:pStyle w:val="ListParagraph"/>
        <w:numPr>
          <w:ilvl w:val="0"/>
          <w:numId w:val="15"/>
        </w:numPr>
      </w:pPr>
      <w:r w:rsidRPr="00B501D6">
        <w:lastRenderedPageBreak/>
        <w:t>Action on the recommendations above should be accompanied by improved collection and publication of performance data, and a monitoring framework at central and local level</w:t>
      </w:r>
      <w:r>
        <w:t>.</w:t>
      </w:r>
    </w:p>
    <w:p w14:paraId="72FC8D96" w14:textId="2DDF2C70" w:rsidR="00C101CD" w:rsidRDefault="00151CFA" w:rsidP="000F0BEC">
      <w:pPr>
        <w:rPr>
          <w:i/>
        </w:rPr>
      </w:pPr>
      <w:r>
        <w:t>Reporting on th</w:t>
      </w:r>
      <w:r w:rsidR="00D21C41">
        <w:t xml:space="preserve">eir analysis of the impact of the </w:t>
      </w:r>
      <w:r>
        <w:t xml:space="preserve">programme </w:t>
      </w:r>
      <w:r w:rsidR="00D21C41">
        <w:t xml:space="preserve">of action </w:t>
      </w:r>
      <w:r>
        <w:t>in 2015, t</w:t>
      </w:r>
      <w:r w:rsidR="001564C9">
        <w:t>he</w:t>
      </w:r>
      <w:r w:rsidR="00C101CD">
        <w:t xml:space="preserve"> National Audit Office (NAO)</w:t>
      </w:r>
      <w:r w:rsidR="001564C9" w:rsidRPr="001564C9">
        <w:rPr>
          <w:rStyle w:val="FootnoteReference"/>
        </w:rPr>
        <w:t xml:space="preserve"> </w:t>
      </w:r>
      <w:r w:rsidR="001564C9">
        <w:rPr>
          <w:rStyle w:val="FootnoteReference"/>
        </w:rPr>
        <w:footnoteReference w:id="7"/>
      </w:r>
      <w:r w:rsidR="00C101CD">
        <w:t xml:space="preserve"> </w:t>
      </w:r>
      <w:r>
        <w:t>observed</w:t>
      </w:r>
      <w:r w:rsidR="00C101CD">
        <w:t xml:space="preserve"> that </w:t>
      </w:r>
      <w:r w:rsidR="00D21C41">
        <w:t xml:space="preserve">the central objective had been missed, and that </w:t>
      </w:r>
      <w:r w:rsidR="00C101CD">
        <w:t>there remained 2,60</w:t>
      </w:r>
      <w:r w:rsidR="00EF6313">
        <w:t>0</w:t>
      </w:r>
      <w:r w:rsidR="00C101CD">
        <w:t xml:space="preserve"> people </w:t>
      </w:r>
      <w:r w:rsidR="00EF6313">
        <w:t xml:space="preserve">detained in inpatient beds </w:t>
      </w:r>
      <w:r w:rsidR="00C101CD">
        <w:t>as of September 2014</w:t>
      </w:r>
      <w:r w:rsidR="004041C2">
        <w:t xml:space="preserve">, 83% </w:t>
      </w:r>
      <w:r w:rsidR="00903508">
        <w:t xml:space="preserve">of whom </w:t>
      </w:r>
      <w:r w:rsidR="004041C2">
        <w:t>were sectioned under the Mental Health Act</w:t>
      </w:r>
      <w:r w:rsidR="00C101CD">
        <w:t xml:space="preserve">.  The </w:t>
      </w:r>
      <w:r w:rsidR="00C101CD" w:rsidRPr="00C101CD">
        <w:t xml:space="preserve">NAO </w:t>
      </w:r>
      <w:r w:rsidR="00EF6313">
        <w:t>findings were:</w:t>
      </w:r>
    </w:p>
    <w:p w14:paraId="2F691620" w14:textId="77777777" w:rsidR="00BA7F03" w:rsidRPr="00CE2BE5" w:rsidRDefault="00BA7F03" w:rsidP="000F0BEC">
      <w:pPr>
        <w:pStyle w:val="ListParagraph"/>
        <w:numPr>
          <w:ilvl w:val="0"/>
          <w:numId w:val="14"/>
        </w:numPr>
      </w:pPr>
      <w:r w:rsidRPr="00CE2BE5">
        <w:t>The government underestimated the complexity and level of challenge involved in meeting its commitments.</w:t>
      </w:r>
    </w:p>
    <w:p w14:paraId="4B6F507D" w14:textId="77777777" w:rsidR="003725AF" w:rsidRPr="00CE2BE5" w:rsidRDefault="003725AF" w:rsidP="000F0BEC">
      <w:pPr>
        <w:pStyle w:val="ListParagraph"/>
        <w:numPr>
          <w:ilvl w:val="0"/>
          <w:numId w:val="14"/>
        </w:numPr>
      </w:pPr>
      <w:r w:rsidRPr="00CE2BE5">
        <w:t>In December 2012, when agreeing the Concordat, the scope and the quality of data on patients with learning disabilities was poor.</w:t>
      </w:r>
    </w:p>
    <w:p w14:paraId="5C35933D" w14:textId="77777777" w:rsidR="003725AF" w:rsidRPr="00CE2BE5" w:rsidRDefault="003725AF" w:rsidP="000F0BEC">
      <w:pPr>
        <w:pStyle w:val="ListParagraph"/>
        <w:numPr>
          <w:ilvl w:val="0"/>
          <w:numId w:val="14"/>
        </w:numPr>
      </w:pPr>
      <w:r w:rsidRPr="00CE2BE5">
        <w:t>The government left it to mental health hospitals, NHS commissioners, and local authorities to decide how to meet the commitments.</w:t>
      </w:r>
    </w:p>
    <w:p w14:paraId="0E5E842C" w14:textId="77777777" w:rsidR="003725AF" w:rsidRPr="00CE2BE5" w:rsidRDefault="003725AF" w:rsidP="000F0BEC">
      <w:pPr>
        <w:pStyle w:val="ListParagraph"/>
        <w:numPr>
          <w:ilvl w:val="0"/>
          <w:numId w:val="14"/>
        </w:numPr>
      </w:pPr>
      <w:r w:rsidRPr="00CE2BE5">
        <w:t>As funding did not follow the patient, there was no financial incentive for local areas to bring patients home.</w:t>
      </w:r>
    </w:p>
    <w:p w14:paraId="6D727F70" w14:textId="77777777" w:rsidR="00BA7F03" w:rsidRPr="00CE2BE5" w:rsidRDefault="00BA7F03" w:rsidP="000F0BEC">
      <w:pPr>
        <w:pStyle w:val="ListParagraph"/>
        <w:numPr>
          <w:ilvl w:val="0"/>
          <w:numId w:val="14"/>
        </w:numPr>
      </w:pPr>
      <w:r w:rsidRPr="00CE2BE5">
        <w:t>Only 73 of the 3,250 people in the 2013 census had been clinically assessed as posing such a risk to themselves, or others, that they needed to be in a high security hospital.</w:t>
      </w:r>
    </w:p>
    <w:p w14:paraId="0342EB34" w14:textId="77777777" w:rsidR="00BA7F03" w:rsidRPr="00CE2BE5" w:rsidRDefault="00BA7F03" w:rsidP="000F0BEC">
      <w:pPr>
        <w:pStyle w:val="ListParagraph"/>
        <w:numPr>
          <w:ilvl w:val="0"/>
          <w:numId w:val="14"/>
        </w:numPr>
      </w:pPr>
      <w:r w:rsidRPr="00CE2BE5">
        <w:t>NHS England lacks adequate and reliable data to monitor progress.</w:t>
      </w:r>
    </w:p>
    <w:p w14:paraId="47105A10" w14:textId="0DD0D7DE" w:rsidR="00A642B8" w:rsidRDefault="00B1392B" w:rsidP="000F0BEC">
      <w:r>
        <w:t>In October 2015, the</w:t>
      </w:r>
      <w:r w:rsidR="004E58AC">
        <w:t xml:space="preserve"> UK Department of Health</w:t>
      </w:r>
      <w:r>
        <w:t xml:space="preserve"> published</w:t>
      </w:r>
      <w:r w:rsidR="00761F4A" w:rsidRPr="00523164">
        <w:t xml:space="preserve"> </w:t>
      </w:r>
      <w:hyperlink r:id="rId25" w:history="1">
        <w:r w:rsidR="00761F4A" w:rsidRPr="00523164">
          <w:rPr>
            <w:rStyle w:val="Hyperlink"/>
            <w:i/>
          </w:rPr>
          <w:t xml:space="preserve">Building the </w:t>
        </w:r>
        <w:r w:rsidR="008B2750">
          <w:rPr>
            <w:rStyle w:val="Hyperlink"/>
            <w:i/>
          </w:rPr>
          <w:t>R</w:t>
        </w:r>
        <w:r w:rsidR="00761F4A" w:rsidRPr="00523164">
          <w:rPr>
            <w:rStyle w:val="Hyperlink"/>
            <w:i/>
          </w:rPr>
          <w:t xml:space="preserve">ight </w:t>
        </w:r>
        <w:r w:rsidR="008B2750">
          <w:rPr>
            <w:rStyle w:val="Hyperlink"/>
            <w:i/>
          </w:rPr>
          <w:t>S</w:t>
        </w:r>
        <w:r w:rsidR="00761F4A" w:rsidRPr="00523164">
          <w:rPr>
            <w:rStyle w:val="Hyperlink"/>
            <w:i/>
          </w:rPr>
          <w:t>upport</w:t>
        </w:r>
      </w:hyperlink>
      <w:r w:rsidR="008B2750">
        <w:rPr>
          <w:rStyle w:val="FootnoteReference"/>
          <w:i/>
          <w:color w:val="63A56E"/>
          <w:u w:val="single"/>
        </w:rPr>
        <w:footnoteReference w:id="8"/>
      </w:r>
      <w:r>
        <w:t xml:space="preserve"> which </w:t>
      </w:r>
      <w:r w:rsidR="004D28F1">
        <w:t xml:space="preserve">provided a framework for the development of community service alternatives to hospital admissions, to support achievement of </w:t>
      </w:r>
      <w:r>
        <w:t>the</w:t>
      </w:r>
      <w:r w:rsidR="004D28F1">
        <w:t xml:space="preserve"> ambitions</w:t>
      </w:r>
      <w:r>
        <w:t xml:space="preserve"> Transforming Care Programme.  The Transforming Care Programme</w:t>
      </w:r>
      <w:r>
        <w:rPr>
          <w:rStyle w:val="FootnoteReference"/>
        </w:rPr>
        <w:footnoteReference w:id="9"/>
      </w:r>
      <w:r w:rsidR="00DC3E3E">
        <w:t xml:space="preserve"> </w:t>
      </w:r>
      <w:r w:rsidR="004D28F1">
        <w:t>aimed</w:t>
      </w:r>
      <w:r w:rsidR="00DC3E3E">
        <w:t xml:space="preserve"> to reduce the number of people who were admitted to hospital, and to close hundreds of beds across England.  The programme also</w:t>
      </w:r>
      <w:r>
        <w:t xml:space="preserve"> included</w:t>
      </w:r>
      <w:r w:rsidR="00761F4A" w:rsidRPr="00523164">
        <w:t xml:space="preserve"> </w:t>
      </w:r>
      <w:r w:rsidR="00351274">
        <w:t xml:space="preserve">the </w:t>
      </w:r>
      <w:r w:rsidR="00761F4A" w:rsidRPr="00523164">
        <w:t xml:space="preserve">establishment of 48 </w:t>
      </w:r>
      <w:r w:rsidR="00351274">
        <w:t xml:space="preserve">area-based </w:t>
      </w:r>
      <w:r w:rsidR="00761F4A" w:rsidRPr="00523164">
        <w:t>Transforming Care Partnerships</w:t>
      </w:r>
      <w:r w:rsidR="00DC3E3E">
        <w:rPr>
          <w:rStyle w:val="FootnoteReference"/>
        </w:rPr>
        <w:footnoteReference w:id="10"/>
      </w:r>
      <w:r w:rsidR="00A83F27">
        <w:t xml:space="preserve"> (TCPs)</w:t>
      </w:r>
      <w:r w:rsidR="00761F4A" w:rsidRPr="00523164">
        <w:t>, made up of Clinical Commissioning Groups</w:t>
      </w:r>
      <w:r w:rsidR="000D38B3">
        <w:t xml:space="preserve"> (CCG)</w:t>
      </w:r>
      <w:r w:rsidR="00761F4A" w:rsidRPr="00523164">
        <w:t>, Local Authorities and other local stakeholders</w:t>
      </w:r>
      <w:r w:rsidR="00DC3E3E">
        <w:t xml:space="preserve">.  </w:t>
      </w:r>
      <w:r w:rsidR="00DC3E3E">
        <w:rPr>
          <w:i/>
        </w:rPr>
        <w:t xml:space="preserve">Building the </w:t>
      </w:r>
      <w:r w:rsidR="008B2750">
        <w:rPr>
          <w:i/>
        </w:rPr>
        <w:t>R</w:t>
      </w:r>
      <w:r w:rsidR="00DC3E3E">
        <w:rPr>
          <w:i/>
        </w:rPr>
        <w:t xml:space="preserve">ight </w:t>
      </w:r>
      <w:r w:rsidR="008B2750">
        <w:rPr>
          <w:i/>
        </w:rPr>
        <w:t>S</w:t>
      </w:r>
      <w:r w:rsidR="00DC3E3E">
        <w:rPr>
          <w:i/>
        </w:rPr>
        <w:t xml:space="preserve">upport </w:t>
      </w:r>
      <w:r w:rsidR="00857DB2">
        <w:t xml:space="preserve">introduced </w:t>
      </w:r>
      <w:r w:rsidR="00761F4A" w:rsidRPr="00523164">
        <w:t xml:space="preserve">a new National Service Model </w:t>
      </w:r>
      <w:r w:rsidR="00857DB2">
        <w:t xml:space="preserve">which </w:t>
      </w:r>
      <w:r w:rsidR="00761F4A" w:rsidRPr="00523164">
        <w:t xml:space="preserve">was intended to be used as guidance </w:t>
      </w:r>
      <w:r w:rsidR="00A83F27">
        <w:t>to support</w:t>
      </w:r>
      <w:r w:rsidR="00857DB2">
        <w:t xml:space="preserve"> local TCP</w:t>
      </w:r>
      <w:r w:rsidR="00A83F27">
        <w:t xml:space="preserve">s to meet </w:t>
      </w:r>
      <w:r w:rsidR="00761F4A" w:rsidRPr="00523164">
        <w:t>a 45-65% reduction in capacity</w:t>
      </w:r>
      <w:r w:rsidR="00A83F27">
        <w:t xml:space="preserve"> of hospital b</w:t>
      </w:r>
      <w:r w:rsidR="00761F4A" w:rsidRPr="00523164">
        <w:t>eds</w:t>
      </w:r>
      <w:r w:rsidR="00A83F27">
        <w:t xml:space="preserve"> </w:t>
      </w:r>
      <w:r w:rsidR="004D28F1">
        <w:t>arranged</w:t>
      </w:r>
      <w:r w:rsidR="00A83F27">
        <w:t xml:space="preserve"> by local</w:t>
      </w:r>
      <w:r w:rsidR="004D28F1">
        <w:t xml:space="preserve"> commissioners, the </w:t>
      </w:r>
      <w:r w:rsidR="00A83F27">
        <w:t>C</w:t>
      </w:r>
      <w:r w:rsidR="004D28F1">
        <w:t xml:space="preserve">linical </w:t>
      </w:r>
      <w:r w:rsidR="00A83F27">
        <w:t>C</w:t>
      </w:r>
      <w:r w:rsidR="004D28F1">
        <w:t xml:space="preserve">ommissioning </w:t>
      </w:r>
      <w:r w:rsidR="00A83F27">
        <w:t>G</w:t>
      </w:r>
      <w:r w:rsidR="004D28F1">
        <w:t>roup</w:t>
      </w:r>
      <w:r w:rsidR="00A83F27">
        <w:t>s</w:t>
      </w:r>
      <w:r w:rsidR="00640BBA">
        <w:t>,</w:t>
      </w:r>
      <w:r w:rsidR="00761F4A" w:rsidRPr="00523164">
        <w:t xml:space="preserve"> and a 25-40% reduction in the number of </w:t>
      </w:r>
      <w:r w:rsidR="00640BBA">
        <w:t xml:space="preserve">nationally arranged </w:t>
      </w:r>
      <w:r w:rsidR="00761F4A" w:rsidRPr="00523164">
        <w:t xml:space="preserve">NHS </w:t>
      </w:r>
      <w:r w:rsidR="00351274">
        <w:t>England (NHSE) b</w:t>
      </w:r>
      <w:r w:rsidR="00761F4A" w:rsidRPr="00523164">
        <w:t xml:space="preserve">eds. The </w:t>
      </w:r>
      <w:r w:rsidR="00A83F27">
        <w:t xml:space="preserve">objective was that this would result in a reduction of the number of people inappropriately </w:t>
      </w:r>
      <w:r w:rsidR="00A83F27">
        <w:lastRenderedPageBreak/>
        <w:t>in inpatient beds from the</w:t>
      </w:r>
      <w:r w:rsidR="00761F4A" w:rsidRPr="00523164">
        <w:t xml:space="preserve"> 2,600 </w:t>
      </w:r>
      <w:r w:rsidR="00A83F27">
        <w:t xml:space="preserve">reported by the NAO </w:t>
      </w:r>
      <w:r w:rsidR="00761F4A" w:rsidRPr="00523164">
        <w:t>to</w:t>
      </w:r>
      <w:r w:rsidR="00A83F27">
        <w:t xml:space="preserve"> between</w:t>
      </w:r>
      <w:r w:rsidR="00761F4A" w:rsidRPr="00523164">
        <w:t xml:space="preserve"> 1,300 – 1,700 by March 2019. </w:t>
      </w:r>
    </w:p>
    <w:p w14:paraId="4B1B0C02" w14:textId="5DB1D268" w:rsidR="009455F7" w:rsidRDefault="00817883" w:rsidP="000F0BEC">
      <w:r>
        <w:t>In 2017, the NAO produced a further report</w:t>
      </w:r>
      <w:r>
        <w:rPr>
          <w:rStyle w:val="FootnoteReference"/>
        </w:rPr>
        <w:footnoteReference w:id="11"/>
      </w:r>
      <w:r>
        <w:t xml:space="preserve"> on progress in transforming local support for </w:t>
      </w:r>
      <w:r w:rsidR="00482ABC">
        <w:rPr>
          <w:lang w:eastAsia="en-GB"/>
        </w:rPr>
        <w:t xml:space="preserve">people with learning disabilities </w:t>
      </w:r>
      <w:r>
        <w:t>which observed that as of December 2016, an 11% reduction had been achieved in the number of people in mental health hospitals against the target of a 35-50% reduction and 60 NHS</w:t>
      </w:r>
      <w:r w:rsidR="00351274">
        <w:t>E</w:t>
      </w:r>
      <w:r>
        <w:t xml:space="preserve"> </w:t>
      </w:r>
      <w:r w:rsidR="00351274">
        <w:t>c</w:t>
      </w:r>
      <w:r>
        <w:t xml:space="preserve">ommissioned </w:t>
      </w:r>
      <w:r w:rsidR="00351274">
        <w:t>b</w:t>
      </w:r>
      <w:r>
        <w:t>eds had been decommissioned against a target of 136.</w:t>
      </w:r>
      <w:r w:rsidR="009455F7">
        <w:t xml:space="preserve">  The NAO findings on progress with the Transforming Care Programme was:</w:t>
      </w:r>
    </w:p>
    <w:p w14:paraId="49FD1CA7" w14:textId="77777777" w:rsidR="009455F7" w:rsidRDefault="009455F7" w:rsidP="000F0BEC">
      <w:pPr>
        <w:pStyle w:val="ListParagraph"/>
        <w:numPr>
          <w:ilvl w:val="0"/>
          <w:numId w:val="16"/>
        </w:numPr>
      </w:pPr>
      <w:r w:rsidRPr="009455F7">
        <w:t>From 2012 to 2015, the Department’s progress in moving people out of mental health hospitals and into the community was poor.</w:t>
      </w:r>
    </w:p>
    <w:p w14:paraId="0CAE9299" w14:textId="77777777" w:rsidR="00352D8D" w:rsidRDefault="009455F7" w:rsidP="000F0BEC">
      <w:pPr>
        <w:pStyle w:val="ListParagraph"/>
        <w:numPr>
          <w:ilvl w:val="0"/>
          <w:numId w:val="16"/>
        </w:numPr>
      </w:pPr>
      <w:r w:rsidRPr="009455F7">
        <w:t>In 2015, the Department and NHS England set up the Transforming Care</w:t>
      </w:r>
      <w:r>
        <w:t xml:space="preserve"> </w:t>
      </w:r>
      <w:r w:rsidRPr="009455F7">
        <w:t>programme to move people out of mental health hospitals more quickly.</w:t>
      </w:r>
    </w:p>
    <w:p w14:paraId="2F03667E" w14:textId="237607D7" w:rsidR="00F73C64" w:rsidRDefault="009455F7" w:rsidP="000F0BEC">
      <w:pPr>
        <w:pStyle w:val="ListParagraph"/>
        <w:numPr>
          <w:ilvl w:val="0"/>
          <w:numId w:val="16"/>
        </w:numPr>
      </w:pPr>
      <w:r w:rsidRPr="00352D8D">
        <w:t xml:space="preserve">Early indications are that the programme was making progress in reducing the number of people in mental health hospitals, noting an 11% reduction from </w:t>
      </w:r>
      <w:r w:rsidR="00352D8D" w:rsidRPr="00352D8D">
        <w:t xml:space="preserve">2,835 in </w:t>
      </w:r>
      <w:r w:rsidRPr="00352D8D">
        <w:t>October 2015 to</w:t>
      </w:r>
      <w:r w:rsidR="00352D8D" w:rsidRPr="00352D8D">
        <w:t xml:space="preserve"> 2,510</w:t>
      </w:r>
      <w:r w:rsidRPr="00352D8D">
        <w:t xml:space="preserve"> December 2016</w:t>
      </w:r>
      <w:r w:rsidR="00B32F68">
        <w:rPr>
          <w:rStyle w:val="FootnoteReference"/>
          <w:i/>
        </w:rPr>
        <w:footnoteReference w:id="12"/>
      </w:r>
      <w:r w:rsidR="00F73C64">
        <w:t>.</w:t>
      </w:r>
    </w:p>
    <w:p w14:paraId="14865E20" w14:textId="443EF949" w:rsidR="00856B21" w:rsidRPr="00856B21" w:rsidRDefault="00F73C64" w:rsidP="000F0BEC">
      <w:pPr>
        <w:pStyle w:val="ListParagraph"/>
        <w:numPr>
          <w:ilvl w:val="0"/>
          <w:numId w:val="16"/>
        </w:numPr>
      </w:pPr>
      <w:r w:rsidRPr="00F73C64">
        <w:t>Programme partners did not yet have confidence that Partnerships can close the planned number of beds by 2019. NHS England had identified that between 900 and 1,300 beds would need to close by 2019. By December 2016, 60 beds had closed and as of April 2017, TCPs only intended to close 136 beds by April 2017</w:t>
      </w:r>
      <w:r>
        <w:t>.</w:t>
      </w:r>
    </w:p>
    <w:p w14:paraId="7BB34A93" w14:textId="08CD6DDE" w:rsidR="00856B21" w:rsidRDefault="00856B21" w:rsidP="000F0BEC">
      <w:r>
        <w:t>The NAO</w:t>
      </w:r>
      <w:r w:rsidR="00B32F68">
        <w:t xml:space="preserve"> report</w:t>
      </w:r>
      <w:r>
        <w:t xml:space="preserve"> recommended a number of areas of complexity which would need to be resolved to achieve the ambition of the</w:t>
      </w:r>
      <w:r w:rsidR="00B32F68">
        <w:t xml:space="preserve"> Transforming Care P</w:t>
      </w:r>
      <w:r>
        <w:t>rogramme:</w:t>
      </w:r>
    </w:p>
    <w:p w14:paraId="57DBC8BC" w14:textId="77777777" w:rsidR="00856B21" w:rsidRDefault="00856B21" w:rsidP="000F0BEC">
      <w:pPr>
        <w:pStyle w:val="ListParagraph"/>
        <w:numPr>
          <w:ilvl w:val="0"/>
          <w:numId w:val="17"/>
        </w:numPr>
      </w:pPr>
      <w:r w:rsidRPr="00856B21">
        <w:t>The flow of people admitted to inpatient care needed to be reduced while the flow of people out into the community needed to increas</w:t>
      </w:r>
      <w:r>
        <w:t>e.</w:t>
      </w:r>
    </w:p>
    <w:p w14:paraId="373D4581" w14:textId="77777777" w:rsidR="00856B21" w:rsidRDefault="00856B21" w:rsidP="000F0BEC">
      <w:pPr>
        <w:pStyle w:val="ListParagraph"/>
        <w:numPr>
          <w:ilvl w:val="0"/>
          <w:numId w:val="17"/>
        </w:numPr>
      </w:pPr>
      <w:r w:rsidRPr="00856B21">
        <w:t>Money</w:t>
      </w:r>
      <w:r>
        <w:t xml:space="preserve"> was not being released quickly enough from hospitals to invest in community models of support. </w:t>
      </w:r>
    </w:p>
    <w:p w14:paraId="3A9F89B8" w14:textId="26E2B8EE" w:rsidR="00856B21" w:rsidRDefault="00856B21" w:rsidP="000F0BEC">
      <w:pPr>
        <w:pStyle w:val="ListParagraph"/>
        <w:numPr>
          <w:ilvl w:val="0"/>
          <w:numId w:val="17"/>
        </w:numPr>
      </w:pPr>
      <w:r>
        <w:t>Local TC</w:t>
      </w:r>
      <w:r w:rsidR="00351274">
        <w:t>P</w:t>
      </w:r>
      <w:r>
        <w:t xml:space="preserve">s were struggling to secure new models of accommodation and housing support. </w:t>
      </w:r>
    </w:p>
    <w:p w14:paraId="5B2BB801" w14:textId="56B30304" w:rsidR="00856B21" w:rsidRDefault="00856B21" w:rsidP="000F0BEC">
      <w:pPr>
        <w:pStyle w:val="ListParagraph"/>
        <w:numPr>
          <w:ilvl w:val="0"/>
          <w:numId w:val="17"/>
        </w:numPr>
      </w:pPr>
      <w:r>
        <w:t>Local TCPs had not produced plans to mobilise a community based workforce.</w:t>
      </w:r>
    </w:p>
    <w:p w14:paraId="44E19D28" w14:textId="727C7CB7" w:rsidR="00BF364E" w:rsidRPr="009924CF" w:rsidRDefault="009924CF" w:rsidP="000F0BEC">
      <w:pPr>
        <w:pStyle w:val="ListParagraph"/>
        <w:numPr>
          <w:ilvl w:val="0"/>
          <w:numId w:val="17"/>
        </w:numPr>
      </w:pPr>
      <w:r>
        <w:lastRenderedPageBreak/>
        <w:t xml:space="preserve">There had been little progress in meeting wider, objectives, with just 20% of people in hospitals </w:t>
      </w:r>
      <w:r w:rsidR="001E098B">
        <w:t>ten</w:t>
      </w:r>
      <w:r>
        <w:t xml:space="preserve"> kilometres or less and 46% in hospitals over 50 kilometres from their home.</w:t>
      </w:r>
    </w:p>
    <w:p w14:paraId="4FE25BA0" w14:textId="2C2A1229" w:rsidR="00BF364E" w:rsidRDefault="00BF364E" w:rsidP="000F0BEC">
      <w:r>
        <w:t>The NAO once again emphasised the centrality of good quality data to underpinning efforts to transform care:</w:t>
      </w:r>
    </w:p>
    <w:p w14:paraId="718F04D5" w14:textId="642163CF" w:rsidR="000A584E" w:rsidRDefault="00BF364E" w:rsidP="000F0BEC">
      <w:r w:rsidRPr="00BF364E">
        <w:t>“As we recommended two years ago, the government should improve its data on patient numbers. Programme partners need to develop a thorough understanding of why the two data sets have different patient numbers, in particular, why one shows a decrease in patient numbers and the other an increase. These two data sets should be reconciled.”</w:t>
      </w:r>
      <w:r>
        <w:t xml:space="preserve"> (p.11)</w:t>
      </w:r>
    </w:p>
    <w:p w14:paraId="7215F592" w14:textId="647C330C" w:rsidR="00814598" w:rsidRDefault="0039034A" w:rsidP="000F0BEC">
      <w:r>
        <w:t>In January 2019, NHS England published the Long Term Plan for the NHS in England</w:t>
      </w:r>
      <w:r>
        <w:rPr>
          <w:rStyle w:val="FootnoteReference"/>
        </w:rPr>
        <w:footnoteReference w:id="13"/>
      </w:r>
      <w:r w:rsidR="001E098B">
        <w:t>.  Chapter Three</w:t>
      </w:r>
      <w:r>
        <w:t xml:space="preserve"> of the NHS Long Term Plan focused on further progress in care quality and outcomes</w:t>
      </w:r>
      <w:r w:rsidR="00D5105A">
        <w:t xml:space="preserve">, including a section on learning disability and autism (paragraphs 3.31-3.36).  </w:t>
      </w:r>
      <w:r w:rsidR="00814598">
        <w:t xml:space="preserve">The plan did not reference Transforming Care or </w:t>
      </w:r>
      <w:r w:rsidR="00814598" w:rsidRPr="008B2750">
        <w:rPr>
          <w:i/>
        </w:rPr>
        <w:t>Building the Right Support</w:t>
      </w:r>
      <w:r w:rsidR="00814598">
        <w:t>, however it did reflect on key commitments stating in paragraph 3.34 that:</w:t>
      </w:r>
    </w:p>
    <w:p w14:paraId="0F8C02E8" w14:textId="338D106E" w:rsidR="00814598" w:rsidRPr="00814598" w:rsidRDefault="00814598" w:rsidP="000F0BEC">
      <w:r>
        <w:t>“</w:t>
      </w:r>
      <w:r w:rsidRPr="006214A2">
        <w:rPr>
          <w:i/>
        </w:rPr>
        <w:t>Since 2015, the number of people in inpatient care has reduced by almost a fifth and around 63598 people who had been in hospital for over five years were supported to move to the community</w:t>
      </w:r>
      <w:r w:rsidRPr="00814598">
        <w:t>.</w:t>
      </w:r>
      <w:r>
        <w:t>” (p.53)</w:t>
      </w:r>
    </w:p>
    <w:p w14:paraId="4C3A6949" w14:textId="77777777" w:rsidR="00E0158B" w:rsidRDefault="00E0158B" w:rsidP="000F0BEC">
      <w:bookmarkStart w:id="9" w:name="_Toc2456724"/>
      <w:r>
        <w:t>New commitments were made that:</w:t>
      </w:r>
    </w:p>
    <w:p w14:paraId="4C2BB3A8" w14:textId="77777777" w:rsidR="00E0158B" w:rsidRDefault="00E0158B" w:rsidP="000F0BEC">
      <w:pPr>
        <w:pStyle w:val="ListParagraph"/>
        <w:numPr>
          <w:ilvl w:val="0"/>
          <w:numId w:val="31"/>
        </w:numPr>
      </w:pPr>
      <w:r w:rsidRPr="00E0158B">
        <w:t xml:space="preserve">Local </w:t>
      </w:r>
      <w:r>
        <w:t xml:space="preserve">systems would take greater control over budgets </w:t>
      </w:r>
      <w:r w:rsidRPr="00E0158B">
        <w:t>to reduce avoidable admissions, enable shorter lengths of stay</w:t>
      </w:r>
      <w:r>
        <w:t xml:space="preserve"> </w:t>
      </w:r>
      <w:r w:rsidRPr="00E0158B">
        <w:t>and end out of area placements</w:t>
      </w:r>
      <w:r>
        <w:t>.</w:t>
      </w:r>
    </w:p>
    <w:p w14:paraId="6F22F2FD" w14:textId="37907380" w:rsidR="00E0158B" w:rsidRDefault="00E0158B" w:rsidP="000F0BEC">
      <w:pPr>
        <w:pStyle w:val="ListParagraph"/>
        <w:numPr>
          <w:ilvl w:val="0"/>
          <w:numId w:val="31"/>
        </w:numPr>
      </w:pPr>
      <w:r w:rsidRPr="00E0158B">
        <w:t>p</w:t>
      </w:r>
      <w:r w:rsidR="006214A2">
        <w:t>eople with a learning disabilities</w:t>
      </w:r>
      <w:r w:rsidRPr="00E0158B">
        <w:t xml:space="preserve">, autism or both will be enabled to have a personal health budget (PHBs). </w:t>
      </w:r>
    </w:p>
    <w:p w14:paraId="75B4AF6D" w14:textId="77777777" w:rsidR="004E58AC" w:rsidRDefault="00E0158B" w:rsidP="000F0BEC">
      <w:pPr>
        <w:pStyle w:val="ListParagraph"/>
        <w:numPr>
          <w:ilvl w:val="0"/>
          <w:numId w:val="31"/>
        </w:numPr>
      </w:pPr>
      <w:r w:rsidRPr="00E0158B">
        <w:t>By March 2023/24, inpatient</w:t>
      </w:r>
      <w:r>
        <w:t xml:space="preserve"> </w:t>
      </w:r>
      <w:r w:rsidRPr="00E0158B">
        <w:t>provision will have reduced to less than half of 2015 levels (on a like for like basis and taking</w:t>
      </w:r>
      <w:r>
        <w:t xml:space="preserve"> </w:t>
      </w:r>
      <w:r w:rsidRPr="00E0158B">
        <w:t>into account population growth) and, for every one million adults, there will be no more than</w:t>
      </w:r>
      <w:r>
        <w:t xml:space="preserve"> </w:t>
      </w:r>
      <w:r w:rsidRPr="00E0158B">
        <w:t>30 people with a learning disability and/or autism cared for in an inpatient unit. For children</w:t>
      </w:r>
      <w:r>
        <w:t xml:space="preserve"> </w:t>
      </w:r>
      <w:r w:rsidRPr="00E0158B">
        <w:t>and young people, no more than 12 to 15 children with a learning disability, autism or both</w:t>
      </w:r>
      <w:r>
        <w:t xml:space="preserve"> </w:t>
      </w:r>
      <w:r w:rsidRPr="00E0158B">
        <w:t>per million, will be cared for in an inpatient facility.</w:t>
      </w:r>
    </w:p>
    <w:p w14:paraId="5AA55F0F" w14:textId="7879BFF8" w:rsidR="007C37EB" w:rsidRDefault="004E58AC" w:rsidP="000F0BEC">
      <w:r w:rsidRPr="004E58AC">
        <w:t xml:space="preserve">On Wednesday 22nd May 2019, the BBC </w:t>
      </w:r>
      <w:r>
        <w:t xml:space="preserve">broadcast a second </w:t>
      </w:r>
      <w:r w:rsidRPr="004E58AC">
        <w:t>Panorama programme expose</w:t>
      </w:r>
      <w:r>
        <w:t xml:space="preserve"> of the experiences of </w:t>
      </w:r>
      <w:r w:rsidR="00482ABC">
        <w:rPr>
          <w:lang w:eastAsia="en-GB"/>
        </w:rPr>
        <w:t xml:space="preserve">people with learning disabilities </w:t>
      </w:r>
      <w:r>
        <w:t>and autistic people at the so</w:t>
      </w:r>
      <w:r w:rsidRPr="004E58AC">
        <w:t xml:space="preserve"> called "</w:t>
      </w:r>
      <w:r w:rsidRPr="006214A2">
        <w:t>secure mental health hospital",</w:t>
      </w:r>
      <w:r w:rsidRPr="004E58AC">
        <w:t xml:space="preserve"> </w:t>
      </w:r>
      <w:hyperlink r:id="rId26" w:history="1">
        <w:r w:rsidRPr="004E58AC">
          <w:rPr>
            <w:rStyle w:val="Hyperlink"/>
          </w:rPr>
          <w:t>Whorlton Hall</w:t>
        </w:r>
      </w:hyperlink>
      <w:r w:rsidRPr="004E58AC">
        <w:t>.</w:t>
      </w:r>
      <w:r w:rsidR="006C01A3">
        <w:t xml:space="preserve">  The programme coincided with the publication of the </w:t>
      </w:r>
      <w:hyperlink r:id="rId27" w:history="1">
        <w:r w:rsidR="006C01A3" w:rsidRPr="006C01A3">
          <w:rPr>
            <w:rStyle w:val="Hyperlink"/>
          </w:rPr>
          <w:t xml:space="preserve">third annual report on the Learning Disabilities Mortality Review </w:t>
        </w:r>
        <w:r w:rsidR="006C01A3" w:rsidRPr="006C01A3">
          <w:rPr>
            <w:rStyle w:val="Hyperlink"/>
          </w:rPr>
          <w:lastRenderedPageBreak/>
          <w:t>programme in England</w:t>
        </w:r>
      </w:hyperlink>
      <w:r w:rsidR="006C01A3">
        <w:t>, which reported finding that w</w:t>
      </w:r>
      <w:r w:rsidR="006C01A3" w:rsidRPr="006C01A3">
        <w:t>omen with learning disabilities died 27 years earlier; men 23 years, when compared to the general population</w:t>
      </w:r>
      <w:r w:rsidR="006C01A3">
        <w:t xml:space="preserve">.  </w:t>
      </w:r>
      <w:r w:rsidR="00E07D50">
        <w:t>T</w:t>
      </w:r>
      <w:r w:rsidR="006C01A3">
        <w:t xml:space="preserve">he Care Quality Commission in England </w:t>
      </w:r>
      <w:r w:rsidR="00E07D50">
        <w:t xml:space="preserve">also </w:t>
      </w:r>
      <w:r w:rsidR="006C01A3">
        <w:t xml:space="preserve">published </w:t>
      </w:r>
      <w:r w:rsidR="00E07D50">
        <w:t xml:space="preserve">in the same week </w:t>
      </w:r>
      <w:r w:rsidR="006C01A3">
        <w:t xml:space="preserve">a </w:t>
      </w:r>
      <w:r w:rsidR="006C01A3" w:rsidRPr="006C01A3">
        <w:t xml:space="preserve">report </w:t>
      </w:r>
      <w:r w:rsidR="006C01A3">
        <w:t>on their</w:t>
      </w:r>
      <w:r w:rsidR="006C01A3" w:rsidRPr="006C01A3">
        <w:t xml:space="preserve"> </w:t>
      </w:r>
      <w:hyperlink r:id="rId28" w:history="1">
        <w:r w:rsidR="006C01A3" w:rsidRPr="00E07D50">
          <w:rPr>
            <w:rStyle w:val="Hyperlink"/>
          </w:rPr>
          <w:t>interim findings from their review of the use of restrictive interventions in places that provide care for people with mental health problems, a learning disability and/or autism</w:t>
        </w:r>
      </w:hyperlink>
      <w:r w:rsidR="006C01A3" w:rsidRPr="006C01A3">
        <w:t>.</w:t>
      </w:r>
      <w:r w:rsidR="006C01A3">
        <w:t xml:space="preserve">  The CQC had visited 35 wards, and reviewed care and support for 39 people who had experienced segregation</w:t>
      </w:r>
      <w:r w:rsidR="00E07D50">
        <w:t>, a high proportion of whom were autistic</w:t>
      </w:r>
      <w:r w:rsidR="006C01A3">
        <w:t>.  The CQC reported finding</w:t>
      </w:r>
      <w:r w:rsidR="00E07D50">
        <w:t xml:space="preserve"> staff lacked necessary training and skills to support people who were </w:t>
      </w:r>
      <w:r w:rsidR="006214A2">
        <w:t xml:space="preserve">being secluded, and in seven </w:t>
      </w:r>
      <w:r w:rsidR="00E07D50">
        <w:t xml:space="preserve">out of </w:t>
      </w:r>
      <w:r w:rsidR="006214A2">
        <w:t>ten</w:t>
      </w:r>
      <w:r w:rsidR="00E07D50">
        <w:t xml:space="preserve"> cases had given up trying to reintegrate the person back from seclusion onto main wards.</w:t>
      </w:r>
    </w:p>
    <w:p w14:paraId="5B6EF403" w14:textId="77777777" w:rsidR="007C37EB" w:rsidRDefault="007C37EB" w:rsidP="000F0BEC">
      <w:pPr>
        <w:sectPr w:rsidR="007C37EB" w:rsidSect="007C37EB">
          <w:type w:val="oddPage"/>
          <w:pgSz w:w="11906" w:h="16838"/>
          <w:pgMar w:top="1440" w:right="1440" w:bottom="1440" w:left="1440" w:header="709" w:footer="283" w:gutter="0"/>
          <w:cols w:space="708"/>
          <w:docGrid w:linePitch="381"/>
        </w:sectPr>
      </w:pPr>
    </w:p>
    <w:p w14:paraId="16B95A1D" w14:textId="121E8138" w:rsidR="000A584E" w:rsidRPr="000A584E" w:rsidRDefault="00B12F43" w:rsidP="00B12F43">
      <w:pPr>
        <w:pStyle w:val="Heading1"/>
      </w:pPr>
      <w:bookmarkStart w:id="10" w:name="_Toc12477543"/>
      <w:r>
        <w:lastRenderedPageBreak/>
        <w:t>2</w:t>
      </w:r>
      <w:r>
        <w:tab/>
      </w:r>
      <w:r w:rsidR="000A584E" w:rsidRPr="000A584E">
        <w:t>Transforming Care: Building the Right Support</w:t>
      </w:r>
      <w:bookmarkEnd w:id="9"/>
      <w:r w:rsidR="000A584E" w:rsidRPr="000A584E">
        <w:t xml:space="preserve"> (2016-2019)</w:t>
      </w:r>
      <w:bookmarkEnd w:id="10"/>
    </w:p>
    <w:p w14:paraId="500E2796" w14:textId="778EB3D0" w:rsidR="000A584E" w:rsidRPr="00585C95" w:rsidRDefault="000A584E" w:rsidP="000F0BEC">
      <w:r>
        <w:t xml:space="preserve">The programme of activity introduced by </w:t>
      </w:r>
      <w:r w:rsidRPr="00172CD5">
        <w:rPr>
          <w:i/>
        </w:rPr>
        <w:t>Building the Right Support</w:t>
      </w:r>
      <w:r w:rsidRPr="00585C95">
        <w:t xml:space="preserve"> </w:t>
      </w:r>
      <w:r w:rsidR="003427FD">
        <w:t>consisted</w:t>
      </w:r>
      <w:r w:rsidRPr="00585C95">
        <w:t xml:space="preserve"> of a number of key elements. </w:t>
      </w:r>
    </w:p>
    <w:p w14:paraId="4A11767D" w14:textId="136FB9CA" w:rsidR="000A584E" w:rsidRPr="00D80F6B" w:rsidRDefault="000A584E" w:rsidP="00D80F6B">
      <w:pPr>
        <w:pStyle w:val="Heading2"/>
      </w:pPr>
      <w:bookmarkStart w:id="11" w:name="_Toc2456725"/>
      <w:bookmarkStart w:id="12" w:name="_Toc12477544"/>
      <w:r w:rsidRPr="00D80F6B">
        <w:t>A National Service Model</w:t>
      </w:r>
      <w:bookmarkEnd w:id="11"/>
      <w:bookmarkEnd w:id="12"/>
    </w:p>
    <w:p w14:paraId="1AFB80D0" w14:textId="49A15C67" w:rsidR="000A584E" w:rsidRPr="00585C95" w:rsidRDefault="000A584E" w:rsidP="000F0BEC">
      <w:r w:rsidRPr="00585C95">
        <w:t>The National Service Model</w:t>
      </w:r>
      <w:r w:rsidR="0064579B">
        <w:rPr>
          <w:rStyle w:val="FootnoteReference"/>
        </w:rPr>
        <w:footnoteReference w:id="14"/>
      </w:r>
      <w:r w:rsidRPr="00585C95">
        <w:t xml:space="preserve"> for </w:t>
      </w:r>
      <w:r w:rsidRPr="00F06042">
        <w:rPr>
          <w:i/>
        </w:rPr>
        <w:t>Building the Right Support</w:t>
      </w:r>
      <w:r w:rsidRPr="00585C95">
        <w:t xml:space="preserve"> </w:t>
      </w:r>
      <w:r w:rsidR="003427FD">
        <w:t>had</w:t>
      </w:r>
      <w:r w:rsidRPr="00585C95">
        <w:t xml:space="preserve"> nine components</w:t>
      </w:r>
      <w:r w:rsidR="000E1D15">
        <w:t>,</w:t>
      </w:r>
      <w:r w:rsidRPr="00585C95">
        <w:t xml:space="preserve"> or principles</w:t>
      </w:r>
      <w:r w:rsidR="000E1D15">
        <w:t>,</w:t>
      </w:r>
      <w:r w:rsidRPr="00585C95">
        <w:t xml:space="preserve"> </w:t>
      </w:r>
      <w:r w:rsidR="003427FD">
        <w:t>which should form the basis of a local offer</w:t>
      </w:r>
      <w:r w:rsidR="000E1D15">
        <w:t xml:space="preserve"> </w:t>
      </w:r>
      <w:r w:rsidR="003427FD">
        <w:t xml:space="preserve">for </w:t>
      </w:r>
      <w:r w:rsidR="00482ABC">
        <w:rPr>
          <w:lang w:eastAsia="en-GB"/>
        </w:rPr>
        <w:t xml:space="preserve">people with learning disabilities </w:t>
      </w:r>
      <w:r w:rsidR="003427FD">
        <w:t>and/or autistic people and their families</w:t>
      </w:r>
      <w:r w:rsidRPr="00585C95">
        <w:t>:</w:t>
      </w:r>
    </w:p>
    <w:p w14:paraId="3D897884" w14:textId="77777777" w:rsidR="000A584E" w:rsidRPr="00585C95" w:rsidRDefault="000A584E" w:rsidP="000F0BEC">
      <w:pPr>
        <w:pStyle w:val="ListParagraph"/>
        <w:numPr>
          <w:ilvl w:val="0"/>
          <w:numId w:val="8"/>
        </w:numPr>
      </w:pPr>
      <w:r w:rsidRPr="00585C95">
        <w:t>A good and meaningful everyday life</w:t>
      </w:r>
    </w:p>
    <w:p w14:paraId="5DE12855" w14:textId="549AD51B" w:rsidR="000A584E" w:rsidRPr="00585C95" w:rsidRDefault="007C37EB" w:rsidP="000F0BEC">
      <w:pPr>
        <w:pStyle w:val="ListParagraph"/>
        <w:numPr>
          <w:ilvl w:val="0"/>
          <w:numId w:val="8"/>
        </w:numPr>
      </w:pPr>
      <w:r w:rsidRPr="00585C95">
        <w:t>Person</w:t>
      </w:r>
      <w:r w:rsidR="000A584E" w:rsidRPr="00585C95">
        <w:t>-centred, planned, proactive and coordinated care</w:t>
      </w:r>
    </w:p>
    <w:p w14:paraId="21D5308E" w14:textId="19629827" w:rsidR="000A584E" w:rsidRPr="00585C95" w:rsidRDefault="007C37EB" w:rsidP="000F0BEC">
      <w:pPr>
        <w:pStyle w:val="ListParagraph"/>
        <w:numPr>
          <w:ilvl w:val="0"/>
          <w:numId w:val="8"/>
        </w:numPr>
      </w:pPr>
      <w:r w:rsidRPr="00585C95">
        <w:t xml:space="preserve">Choice </w:t>
      </w:r>
      <w:r w:rsidR="000A584E" w:rsidRPr="00585C95">
        <w:t>and control</w:t>
      </w:r>
    </w:p>
    <w:p w14:paraId="0AB46BBD" w14:textId="56473305" w:rsidR="000A584E" w:rsidRPr="00585C95" w:rsidRDefault="007C37EB" w:rsidP="000F0BEC">
      <w:pPr>
        <w:pStyle w:val="ListParagraph"/>
        <w:numPr>
          <w:ilvl w:val="0"/>
          <w:numId w:val="8"/>
        </w:numPr>
      </w:pPr>
      <w:r w:rsidRPr="00585C95">
        <w:t xml:space="preserve">Support </w:t>
      </w:r>
      <w:r w:rsidR="000A584E" w:rsidRPr="00585C95">
        <w:t>from and for their families/carers as well as paid support and care staff</w:t>
      </w:r>
    </w:p>
    <w:p w14:paraId="4695F552" w14:textId="5201002E" w:rsidR="000A584E" w:rsidRPr="00585C95" w:rsidRDefault="007C37EB" w:rsidP="000F0BEC">
      <w:pPr>
        <w:pStyle w:val="ListParagraph"/>
        <w:numPr>
          <w:ilvl w:val="0"/>
          <w:numId w:val="8"/>
        </w:numPr>
      </w:pPr>
      <w:r w:rsidRPr="00585C95">
        <w:t>Housi</w:t>
      </w:r>
      <w:r w:rsidR="000A584E" w:rsidRPr="00585C95">
        <w:t>ng</w:t>
      </w:r>
    </w:p>
    <w:p w14:paraId="01F12575" w14:textId="02F40EBD" w:rsidR="000A584E" w:rsidRPr="00585C95" w:rsidRDefault="007C37EB" w:rsidP="000F0BEC">
      <w:pPr>
        <w:pStyle w:val="ListParagraph"/>
        <w:numPr>
          <w:ilvl w:val="0"/>
          <w:numId w:val="8"/>
        </w:numPr>
      </w:pPr>
      <w:r w:rsidRPr="00585C95">
        <w:t xml:space="preserve">Mainstream </w:t>
      </w:r>
      <w:r w:rsidR="000A584E" w:rsidRPr="00585C95">
        <w:t>NHS services</w:t>
      </w:r>
    </w:p>
    <w:p w14:paraId="1B36A4BD" w14:textId="01A43E76" w:rsidR="000A584E" w:rsidRPr="00585C95" w:rsidRDefault="007C37EB" w:rsidP="000F0BEC">
      <w:pPr>
        <w:pStyle w:val="ListParagraph"/>
        <w:numPr>
          <w:ilvl w:val="0"/>
          <w:numId w:val="8"/>
        </w:numPr>
      </w:pPr>
      <w:r w:rsidRPr="00585C95">
        <w:t xml:space="preserve">Specialist </w:t>
      </w:r>
      <w:r w:rsidR="000A584E" w:rsidRPr="00585C95">
        <w:t>health and social care support in the community</w:t>
      </w:r>
    </w:p>
    <w:p w14:paraId="1A5AB916" w14:textId="472D9556" w:rsidR="000A584E" w:rsidRPr="00585C95" w:rsidRDefault="007C37EB" w:rsidP="000F0BEC">
      <w:pPr>
        <w:pStyle w:val="ListParagraph"/>
        <w:numPr>
          <w:ilvl w:val="0"/>
          <w:numId w:val="8"/>
        </w:numPr>
      </w:pPr>
      <w:r w:rsidRPr="00585C95">
        <w:t xml:space="preserve">Support </w:t>
      </w:r>
      <w:r w:rsidR="000A584E" w:rsidRPr="00585C95">
        <w:t>to stay out of trouble</w:t>
      </w:r>
    </w:p>
    <w:p w14:paraId="257B43FB" w14:textId="7CB0F143" w:rsidR="000A584E" w:rsidRPr="00585C95" w:rsidRDefault="007C37EB" w:rsidP="000F0BEC">
      <w:pPr>
        <w:pStyle w:val="ListParagraph"/>
        <w:numPr>
          <w:ilvl w:val="0"/>
          <w:numId w:val="8"/>
        </w:numPr>
      </w:pPr>
      <w:r w:rsidRPr="00585C95">
        <w:t xml:space="preserve">Treatment </w:t>
      </w:r>
      <w:r w:rsidR="000A584E" w:rsidRPr="00585C95">
        <w:t xml:space="preserve">in a hospital setting for no longer than they need it.  </w:t>
      </w:r>
    </w:p>
    <w:p w14:paraId="04EBB680" w14:textId="32EAF37D" w:rsidR="000A584E" w:rsidRPr="00585C95" w:rsidRDefault="000A584E" w:rsidP="000F0BEC">
      <w:r w:rsidRPr="00585C95">
        <w:t xml:space="preserve">The idea </w:t>
      </w:r>
      <w:r>
        <w:t xml:space="preserve">being </w:t>
      </w:r>
      <w:r w:rsidRPr="00585C95">
        <w:t xml:space="preserve">that with the right services in place people </w:t>
      </w:r>
      <w:r w:rsidR="006214A2">
        <w:t>would not</w:t>
      </w:r>
      <w:r w:rsidRPr="00585C95">
        <w:t xml:space="preserve"> need to go into inpatient hospitals. </w:t>
      </w:r>
    </w:p>
    <w:p w14:paraId="61C4F675" w14:textId="074B7F67" w:rsidR="000A584E" w:rsidRDefault="000A584E" w:rsidP="00D80F6B">
      <w:pPr>
        <w:pStyle w:val="Heading2"/>
      </w:pPr>
      <w:bookmarkStart w:id="13" w:name="_Toc2456726"/>
      <w:bookmarkStart w:id="14" w:name="_Toc12477545"/>
      <w:r>
        <w:t>A New Financial Framework</w:t>
      </w:r>
      <w:bookmarkEnd w:id="13"/>
      <w:bookmarkEnd w:id="14"/>
    </w:p>
    <w:p w14:paraId="5C2FDBEA" w14:textId="05BD8FDC" w:rsidR="000A584E" w:rsidRPr="00585C95" w:rsidRDefault="003E7CFC" w:rsidP="000F0BEC">
      <w:r>
        <w:t>Whilst there was no new money available to support Transforming Care, it</w:t>
      </w:r>
      <w:r w:rsidR="000A584E" w:rsidRPr="00585C95">
        <w:t xml:space="preserve"> was intended that the development of a national service model would be helped </w:t>
      </w:r>
      <w:r>
        <w:t xml:space="preserve">by what was called a </w:t>
      </w:r>
      <w:r w:rsidR="000A584E" w:rsidRPr="00585C95">
        <w:t>new financial framework</w:t>
      </w:r>
      <w:r>
        <w:rPr>
          <w:rStyle w:val="FootnoteReference"/>
        </w:rPr>
        <w:footnoteReference w:id="15"/>
      </w:r>
      <w:r w:rsidR="000A584E" w:rsidRPr="00585C95">
        <w:t xml:space="preserve"> </w:t>
      </w:r>
      <w:r>
        <w:t xml:space="preserve">whereby Local Authorities, CCGs and NHS England specialist commissioners would use funding that paid for hospital admission to fund community services.  It was estimated that the closure of hospital beds would release </w:t>
      </w:r>
      <w:r>
        <w:rPr>
          <w:i/>
        </w:rPr>
        <w:t>“hundreds of millions of pounds”</w:t>
      </w:r>
      <w:r>
        <w:t xml:space="preserve"> (para 4.42) to reinvest in the community.</w:t>
      </w:r>
      <w:r w:rsidR="000A584E" w:rsidRPr="00585C95">
        <w:t xml:space="preserve">   </w:t>
      </w:r>
    </w:p>
    <w:p w14:paraId="3314920D" w14:textId="1253F99E" w:rsidR="000A584E" w:rsidRDefault="000A584E" w:rsidP="00D80F6B">
      <w:pPr>
        <w:pStyle w:val="Heading2"/>
      </w:pPr>
      <w:bookmarkStart w:id="15" w:name="_Toc2456727"/>
      <w:bookmarkStart w:id="16" w:name="_Toc12477546"/>
      <w:r>
        <w:t>Care and Treatment Reviews</w:t>
      </w:r>
      <w:bookmarkEnd w:id="15"/>
      <w:bookmarkEnd w:id="16"/>
    </w:p>
    <w:p w14:paraId="3733C1BC" w14:textId="7B2EBD7D" w:rsidR="000A584E" w:rsidRPr="00585C95" w:rsidRDefault="004F3902" w:rsidP="000F0BEC">
      <w:r>
        <w:t>Since 2015, Care and Treatment Reviews</w:t>
      </w:r>
      <w:r>
        <w:rPr>
          <w:rStyle w:val="FootnoteReference"/>
        </w:rPr>
        <w:footnoteReference w:id="16"/>
      </w:r>
      <w:r w:rsidR="006214A2">
        <w:t xml:space="preserve"> (CTRs)</w:t>
      </w:r>
      <w:r>
        <w:t xml:space="preserve"> have been taking place.  Care and Treatment Reviews are carried about by a panel including one representative of the person </w:t>
      </w:r>
      <w:r>
        <w:lastRenderedPageBreak/>
        <w:t xml:space="preserve">and ask questions about what could be done to avoid an admission to hospital or to help someone home who was inappropriately detained.  </w:t>
      </w:r>
      <w:r w:rsidR="000A584E" w:rsidRPr="00585C95">
        <w:t>After criticism of the implementation of CTRs by the Public Accounts Committee</w:t>
      </w:r>
      <w:r w:rsidR="003427FD">
        <w:t>, who observed that by December 201</w:t>
      </w:r>
      <w:r w:rsidR="000A584E" w:rsidRPr="00585C95">
        <w:t>6</w:t>
      </w:r>
      <w:r w:rsidR="003427FD">
        <w:t xml:space="preserve"> reviews had only taken place with 39% of </w:t>
      </w:r>
      <w:r w:rsidR="00F06042">
        <w:t>people with learning disabilities</w:t>
      </w:r>
      <w:r w:rsidR="003427FD">
        <w:t xml:space="preserve"> in mental health hospitals</w:t>
      </w:r>
      <w:r w:rsidR="003A7D77">
        <w:t xml:space="preserve"> and that senior clinicians were not engaging in the CTR process</w:t>
      </w:r>
      <w:r w:rsidR="003427FD">
        <w:rPr>
          <w:rStyle w:val="FootnoteReference"/>
        </w:rPr>
        <w:footnoteReference w:id="17"/>
      </w:r>
      <w:r w:rsidR="003427FD">
        <w:t>,</w:t>
      </w:r>
      <w:r w:rsidR="000A584E" w:rsidRPr="00585C95">
        <w:t xml:space="preserve"> a number of changes were made to the CTR Policy and Guidance including the creation of Care, Education and Treatment Reviews for children and young people. </w:t>
      </w:r>
    </w:p>
    <w:p w14:paraId="579C07F0" w14:textId="05EEE682" w:rsidR="000A584E" w:rsidRDefault="000A584E" w:rsidP="00D80F6B">
      <w:pPr>
        <w:pStyle w:val="Heading2"/>
      </w:pPr>
      <w:bookmarkStart w:id="17" w:name="_Toc2456728"/>
      <w:bookmarkStart w:id="18" w:name="_Toc12477547"/>
      <w:r>
        <w:t>Transforming Care Partnerships</w:t>
      </w:r>
      <w:bookmarkEnd w:id="17"/>
      <w:bookmarkEnd w:id="18"/>
    </w:p>
    <w:p w14:paraId="17E95656" w14:textId="229C2830" w:rsidR="000A584E" w:rsidRPr="00585C95" w:rsidRDefault="000E1D15" w:rsidP="000F0BEC">
      <w:r>
        <w:t>I</w:t>
      </w:r>
      <w:r w:rsidR="000A584E" w:rsidRPr="00585C95">
        <w:t xml:space="preserve">n order to support the delivery of </w:t>
      </w:r>
      <w:r w:rsidR="000A584E" w:rsidRPr="00F06042">
        <w:rPr>
          <w:i/>
        </w:rPr>
        <w:t>Building the Right Support</w:t>
      </w:r>
      <w:r w:rsidR="000A584E" w:rsidRPr="00585C95">
        <w:t xml:space="preserve"> at a local level 48 </w:t>
      </w:r>
      <w:r w:rsidR="00EE1601">
        <w:t xml:space="preserve">area-based </w:t>
      </w:r>
      <w:r w:rsidR="000A584E" w:rsidRPr="00585C95">
        <w:t>Transforming Care Partnerships</w:t>
      </w:r>
      <w:r>
        <w:t xml:space="preserve"> (TCPs)</w:t>
      </w:r>
      <w:r w:rsidR="000A584E" w:rsidRPr="00585C95">
        <w:t xml:space="preserve"> were set up</w:t>
      </w:r>
      <w:r w:rsidR="00640BBA">
        <w:t xml:space="preserve"> in April 2016</w:t>
      </w:r>
      <w:r w:rsidR="000A584E" w:rsidRPr="00585C95">
        <w:t xml:space="preserve">. Their objective was to bring together commissioners and providers from across different agencies, at a scale that would help to prevent duplication and support the development of the infrastructure required to improve support in the community. Once they were established, they were required to draw up implementation plans outlining how they were going to deliver the objectives set out in </w:t>
      </w:r>
      <w:r w:rsidR="000A584E" w:rsidRPr="008B2750">
        <w:rPr>
          <w:i/>
        </w:rPr>
        <w:t>Building the Right Support</w:t>
      </w:r>
      <w:r w:rsidR="000A584E" w:rsidRPr="00585C95">
        <w:t xml:space="preserve">. </w:t>
      </w:r>
    </w:p>
    <w:p w14:paraId="6DA1D40B" w14:textId="3ADDB3B0" w:rsidR="000A584E" w:rsidRPr="00585C95" w:rsidRDefault="000A584E" w:rsidP="000F0BEC">
      <w:r w:rsidRPr="00585C95">
        <w:t xml:space="preserve">The Transforming Care implementation plans outlined how the 48 Transforming Care Partnerships would implement </w:t>
      </w:r>
      <w:r w:rsidRPr="00F06042">
        <w:rPr>
          <w:i/>
        </w:rPr>
        <w:t>Building the Right Support</w:t>
      </w:r>
      <w:r w:rsidRPr="00585C95">
        <w:t xml:space="preserve">. Each Partnership </w:t>
      </w:r>
      <w:r w:rsidR="00EE1601">
        <w:t>was instructed to</w:t>
      </w:r>
      <w:r w:rsidRPr="00585C95">
        <w:t xml:space="preserve"> consult widely in drawing up its plan and show how it intended to implement the National Service Plan in its local area, adapting it to the needs of the local community and making full use of existing systems and services. </w:t>
      </w:r>
      <w:r w:rsidR="00640BBA">
        <w:t>It is unclear to what extent each TCP area complied with the duty to consult.</w:t>
      </w:r>
    </w:p>
    <w:p w14:paraId="745089AD" w14:textId="0F62FAC0" w:rsidR="000A584E" w:rsidRPr="00585C95" w:rsidRDefault="00D5105A" w:rsidP="00D80F6B">
      <w:pPr>
        <w:pStyle w:val="Heading2"/>
      </w:pPr>
      <w:bookmarkStart w:id="19" w:name="_Toc2456729"/>
      <w:bookmarkStart w:id="20" w:name="_Toc12477548"/>
      <w:r>
        <w:t xml:space="preserve">Building the Right Support </w:t>
      </w:r>
      <w:r w:rsidR="000A584E" w:rsidRPr="00585C95">
        <w:t>Objectives</w:t>
      </w:r>
      <w:bookmarkEnd w:id="19"/>
      <w:bookmarkEnd w:id="20"/>
    </w:p>
    <w:p w14:paraId="50BEB067" w14:textId="091C5089" w:rsidR="000A584E" w:rsidRPr="00585C95" w:rsidRDefault="000A584E" w:rsidP="000F0BEC">
      <w:pPr>
        <w:rPr>
          <w:i/>
        </w:rPr>
      </w:pPr>
      <w:r w:rsidRPr="00F06042">
        <w:rPr>
          <w:i/>
        </w:rPr>
        <w:t>Building the Right Support</w:t>
      </w:r>
      <w:r w:rsidRPr="00585C95">
        <w:t xml:space="preserve"> set</w:t>
      </w:r>
      <w:r w:rsidR="003427FD">
        <w:t xml:space="preserve"> out </w:t>
      </w:r>
      <w:r w:rsidRPr="00585C95">
        <w:t xml:space="preserve">a number of objectives for NHS England and </w:t>
      </w:r>
      <w:r w:rsidR="003427FD">
        <w:t>the 48 local</w:t>
      </w:r>
      <w:r w:rsidRPr="00585C95">
        <w:t xml:space="preserve"> Transforming Care Partnerships. The first </w:t>
      </w:r>
      <w:r w:rsidR="003427FD">
        <w:t>wa</w:t>
      </w:r>
      <w:r w:rsidRPr="00585C95">
        <w:t>s that each T</w:t>
      </w:r>
      <w:r w:rsidR="000E1D15">
        <w:t>CP</w:t>
      </w:r>
      <w:r w:rsidRPr="00585C95">
        <w:t xml:space="preserve"> should have the National Service Model in place by the end of March 2019, this quite specific objective </w:t>
      </w:r>
      <w:r w:rsidR="007A077A">
        <w:t>wa</w:t>
      </w:r>
      <w:r w:rsidRPr="00585C95">
        <w:t xml:space="preserve">s accompanied by the slightly vaguer expectation that partnerships would </w:t>
      </w:r>
      <w:r w:rsidRPr="00585C95">
        <w:rPr>
          <w:i/>
        </w:rPr>
        <w:t>make progress on three outcomes</w:t>
      </w:r>
    </w:p>
    <w:p w14:paraId="3E823151" w14:textId="77777777" w:rsidR="000A584E" w:rsidRPr="00585C95" w:rsidRDefault="000A584E" w:rsidP="000F0BEC">
      <w:pPr>
        <w:pStyle w:val="ListParagraph"/>
        <w:numPr>
          <w:ilvl w:val="0"/>
          <w:numId w:val="28"/>
        </w:numPr>
      </w:pPr>
      <w:r w:rsidRPr="00585C95">
        <w:t xml:space="preserve">Reduced reliance on inpatient services (closing hospital services and strengthening support in the community)  </w:t>
      </w:r>
    </w:p>
    <w:p w14:paraId="23AAB85C" w14:textId="77777777" w:rsidR="000A584E" w:rsidRPr="00585C95" w:rsidRDefault="000A584E" w:rsidP="000F0BEC">
      <w:pPr>
        <w:pStyle w:val="ListParagraph"/>
        <w:numPr>
          <w:ilvl w:val="0"/>
          <w:numId w:val="28"/>
        </w:numPr>
      </w:pPr>
      <w:r w:rsidRPr="00585C95">
        <w:t xml:space="preserve">Improved quality of life for people in inpatient and community settings </w:t>
      </w:r>
    </w:p>
    <w:p w14:paraId="676F6348" w14:textId="6E486533" w:rsidR="000A584E" w:rsidRPr="00585C95" w:rsidRDefault="000A584E" w:rsidP="000F0BEC">
      <w:pPr>
        <w:pStyle w:val="ListParagraph"/>
        <w:numPr>
          <w:ilvl w:val="0"/>
          <w:numId w:val="28"/>
        </w:numPr>
      </w:pPr>
      <w:r w:rsidRPr="00585C95">
        <w:t>Improved quality of care for people in inpatient and community settings</w:t>
      </w:r>
    </w:p>
    <w:p w14:paraId="3740B466" w14:textId="77777777" w:rsidR="000A584E" w:rsidRPr="00585C95" w:rsidRDefault="000A584E" w:rsidP="000F0BEC">
      <w:r w:rsidRPr="00585C95">
        <w:t xml:space="preserve"> (BRS, p36)</w:t>
      </w:r>
    </w:p>
    <w:p w14:paraId="48556E78" w14:textId="4DE9793D" w:rsidR="000A584E" w:rsidRPr="00585C95" w:rsidRDefault="000A584E" w:rsidP="000F0BEC">
      <w:r w:rsidRPr="00585C95">
        <w:lastRenderedPageBreak/>
        <w:t>However, ultimately</w:t>
      </w:r>
      <w:r w:rsidR="006E5380">
        <w:t>, NHS England and the Department of Health and Social Care determined that</w:t>
      </w:r>
      <w:r w:rsidRPr="00585C95">
        <w:t xml:space="preserve"> the success or failure of</w:t>
      </w:r>
      <w:r w:rsidR="003E7CFC">
        <w:t xml:space="preserve"> </w:t>
      </w:r>
      <w:r w:rsidRPr="00585C95">
        <w:t>Transforming Care</w:t>
      </w:r>
      <w:r w:rsidR="00F06042">
        <w:t xml:space="preserve"> </w:t>
      </w:r>
      <w:r w:rsidRPr="00585C95">
        <w:t xml:space="preserve">/ </w:t>
      </w:r>
      <w:r w:rsidRPr="00F06042">
        <w:rPr>
          <w:i/>
        </w:rPr>
        <w:t>Building the Right Support</w:t>
      </w:r>
      <w:r w:rsidRPr="00585C95">
        <w:t xml:space="preserve"> would be measured by the policy’s ability to reduce the number of people detained for assessment and treatment in inpatient hospitals</w:t>
      </w:r>
      <w:r w:rsidR="006E5380">
        <w:t>,</w:t>
      </w:r>
      <w:r w:rsidRPr="00585C95">
        <w:t xml:space="preserve"> set</w:t>
      </w:r>
      <w:r w:rsidR="006E5380">
        <w:t>ting</w:t>
      </w:r>
      <w:r w:rsidRPr="00585C95">
        <w:t xml:space="preserve"> the following targets:</w:t>
      </w:r>
    </w:p>
    <w:p w14:paraId="107BBB07" w14:textId="679EB7B7" w:rsidR="000A584E" w:rsidRDefault="008B2750" w:rsidP="000F0BEC">
      <w:r>
        <w:t>“</w:t>
      </w:r>
      <w:r w:rsidR="000A584E" w:rsidRPr="008B2750">
        <w:rPr>
          <w:i/>
        </w:rPr>
        <w:t>at a minimum, 45 – 65% of CCG commissioned inpatient capacity will be closed, and 25 – 40% of NHS England-commissioned capacity will close, with the bulk of change in secure care expected to occur in low-secure provision. Overall, 35% - 50% of inpatient provision will be closing nationally with alternative care provided in the community. The change will be even more significant in those areas of the country currently more reliant on inpatient care.  In three years we would expect to need hospital care for only 1,300-1,700 people where now we cater for 2,600. This will free up money which can then be reinvested into community services, following upfront investment</w:t>
      </w:r>
      <w:r>
        <w:t>” (BRS, p6)</w:t>
      </w:r>
      <w:r w:rsidR="00F06042">
        <w:t>.</w:t>
      </w:r>
    </w:p>
    <w:p w14:paraId="1272B212" w14:textId="77777777" w:rsidR="007C37EB" w:rsidRDefault="007C37EB" w:rsidP="000F0BEC">
      <w:pPr>
        <w:sectPr w:rsidR="007C37EB" w:rsidSect="007C37EB">
          <w:pgSz w:w="11906" w:h="16838"/>
          <w:pgMar w:top="1440" w:right="1440" w:bottom="1440" w:left="1440" w:header="709" w:footer="283" w:gutter="0"/>
          <w:cols w:space="708"/>
          <w:docGrid w:linePitch="381"/>
        </w:sectPr>
      </w:pPr>
    </w:p>
    <w:p w14:paraId="1A03685A" w14:textId="5E1EA157" w:rsidR="0064579B" w:rsidRPr="00936799" w:rsidRDefault="00B12F43" w:rsidP="00B12F43">
      <w:pPr>
        <w:pStyle w:val="Heading1"/>
      </w:pPr>
      <w:r>
        <w:lastRenderedPageBreak/>
        <w:t>3</w:t>
      </w:r>
      <w:r>
        <w:tab/>
      </w:r>
      <w:r w:rsidR="00155613" w:rsidRPr="00936799">
        <w:t xml:space="preserve">Has the number of </w:t>
      </w:r>
      <w:r w:rsidR="00482ABC">
        <w:rPr>
          <w:lang w:eastAsia="en-GB"/>
        </w:rPr>
        <w:t xml:space="preserve">people with learning disabilities </w:t>
      </w:r>
      <w:r w:rsidR="00155613" w:rsidRPr="00936799">
        <w:t>and/or autistic people in inpatient units reduced?</w:t>
      </w:r>
    </w:p>
    <w:p w14:paraId="5A4C2A6D" w14:textId="27D02A1B" w:rsidR="005A1195" w:rsidRDefault="00E07D50" w:rsidP="000F0BEC">
      <w:r>
        <w:t xml:space="preserve">The </w:t>
      </w:r>
      <w:hyperlink r:id="rId29" w:history="1">
        <w:r w:rsidRPr="00936799">
          <w:rPr>
            <w:rStyle w:val="Hyperlink"/>
          </w:rPr>
          <w:t>Long Term Plan for the NHS in England,</w:t>
        </w:r>
      </w:hyperlink>
      <w:r>
        <w:t xml:space="preserve"> published in 2019, states that </w:t>
      </w:r>
      <w:r w:rsidR="005A1195">
        <w:t>“S</w:t>
      </w:r>
      <w:r w:rsidR="005A1195" w:rsidRPr="00814598">
        <w:rPr>
          <w:i/>
        </w:rPr>
        <w:t>ince 2015, the number of people in inpatient care has reduced by almost a fifth and around 635 people who had been in hospital for over five years were supported to move to the community.</w:t>
      </w:r>
      <w:r w:rsidR="005A1195">
        <w:rPr>
          <w:i/>
        </w:rPr>
        <w:t xml:space="preserve">” </w:t>
      </w:r>
      <w:r w:rsidR="005A1195">
        <w:t>(para 3.34, p.53)</w:t>
      </w:r>
    </w:p>
    <w:p w14:paraId="2F15C21A" w14:textId="5ABE199B" w:rsidR="00956F54" w:rsidRDefault="00BF6E8C" w:rsidP="00D80F6B">
      <w:pPr>
        <w:pStyle w:val="Heading2"/>
      </w:pPr>
      <w:bookmarkStart w:id="21" w:name="_Toc12477549"/>
      <w:r>
        <w:t xml:space="preserve">How </w:t>
      </w:r>
      <w:r w:rsidRPr="007C37EB">
        <w:t>many</w:t>
      </w:r>
      <w:r>
        <w:t xml:space="preserve"> people were </w:t>
      </w:r>
      <w:r w:rsidRPr="007C37EB">
        <w:t>in</w:t>
      </w:r>
      <w:r>
        <w:t xml:space="preserve"> hospital at the start of Transforming Care?</w:t>
      </w:r>
      <w:bookmarkEnd w:id="21"/>
    </w:p>
    <w:p w14:paraId="42E63008" w14:textId="083BFD4B" w:rsidR="00956F54" w:rsidRDefault="00956F54" w:rsidP="000F0BEC">
      <w:pPr>
        <w:rPr>
          <w:lang w:eastAsia="en-GB"/>
        </w:rPr>
      </w:pPr>
      <w:r>
        <w:rPr>
          <w:lang w:eastAsia="en-GB"/>
        </w:rPr>
        <w:t>In February 2016, a month before the start of the Transforming Care Programme, there were 2,650</w:t>
      </w:r>
      <w:r>
        <w:rPr>
          <w:rStyle w:val="FootnoteReference"/>
          <w:lang w:eastAsia="en-GB"/>
        </w:rPr>
        <w:footnoteReference w:id="18"/>
      </w:r>
      <w:r>
        <w:rPr>
          <w:lang w:eastAsia="en-GB"/>
        </w:rPr>
        <w:t xml:space="preserve"> people receiving inpatient care.  </w:t>
      </w:r>
    </w:p>
    <w:p w14:paraId="7B5DE799" w14:textId="29F380CE" w:rsidR="00956F54" w:rsidRDefault="00BF6E8C" w:rsidP="00D80F6B">
      <w:pPr>
        <w:pStyle w:val="Heading2"/>
      </w:pPr>
      <w:bookmarkStart w:id="22" w:name="_Toc12477550"/>
      <w:r w:rsidRPr="005D0185">
        <w:t>Where do we find the information about Transforming Care?</w:t>
      </w:r>
      <w:bookmarkEnd w:id="22"/>
      <w:r w:rsidRPr="005D0185">
        <w:t xml:space="preserve">  </w:t>
      </w:r>
    </w:p>
    <w:p w14:paraId="2CF29B22" w14:textId="63D32696" w:rsidR="00AD3A9B" w:rsidRDefault="00BF6E8C" w:rsidP="000F0BEC">
      <w:pPr>
        <w:rPr>
          <w:lang w:eastAsia="en-GB"/>
        </w:rPr>
      </w:pPr>
      <w:r>
        <w:rPr>
          <w:lang w:eastAsia="en-GB"/>
        </w:rPr>
        <w:t>There are two main sources of information about Transforming Care.  The Assuring Transformation and the National Mental Health Services Data Sets.</w:t>
      </w:r>
      <w:r w:rsidR="002A5219">
        <w:rPr>
          <w:lang w:eastAsia="en-GB"/>
        </w:rPr>
        <w:t xml:space="preserve"> </w:t>
      </w:r>
      <w:r>
        <w:rPr>
          <w:lang w:eastAsia="en-GB"/>
        </w:rPr>
        <w:t xml:space="preserve"> The Assuring Transformation data set, which NHS Digital assumed responsibility for in</w:t>
      </w:r>
      <w:r w:rsidR="002A5219">
        <w:rPr>
          <w:lang w:eastAsia="en-GB"/>
        </w:rPr>
        <w:t xml:space="preserve"> January 2015, </w:t>
      </w:r>
      <w:r>
        <w:rPr>
          <w:lang w:eastAsia="en-GB"/>
        </w:rPr>
        <w:t xml:space="preserve">reports on the number of </w:t>
      </w:r>
      <w:r w:rsidR="00482ABC">
        <w:rPr>
          <w:lang w:eastAsia="en-GB"/>
        </w:rPr>
        <w:t xml:space="preserve">people with learning disabilities </w:t>
      </w:r>
      <w:r>
        <w:rPr>
          <w:lang w:eastAsia="en-GB"/>
        </w:rPr>
        <w:t xml:space="preserve">and autistic people in hospital to </w:t>
      </w:r>
      <w:r w:rsidR="002A5219" w:rsidRPr="002A5219">
        <w:rPr>
          <w:lang w:eastAsia="en-GB"/>
        </w:rPr>
        <w:t>ensure that the public awareness of</w:t>
      </w:r>
      <w:r>
        <w:rPr>
          <w:lang w:eastAsia="en-GB"/>
        </w:rPr>
        <w:t xml:space="preserve"> delivery of</w:t>
      </w:r>
      <w:r w:rsidR="002A5219" w:rsidRPr="002A5219">
        <w:rPr>
          <w:lang w:eastAsia="en-GB"/>
        </w:rPr>
        <w:t xml:space="preserve"> the NHS commitments in the Winterbourne View Concordat </w:t>
      </w:r>
      <w:r>
        <w:rPr>
          <w:lang w:eastAsia="en-GB"/>
        </w:rPr>
        <w:t>are</w:t>
      </w:r>
      <w:r w:rsidR="002A5219" w:rsidRPr="002A5219">
        <w:rPr>
          <w:lang w:eastAsia="en-GB"/>
        </w:rPr>
        <w:t xml:space="preserve"> transparent and robust</w:t>
      </w:r>
      <w:r w:rsidR="00640BBA">
        <w:rPr>
          <w:lang w:eastAsia="en-GB"/>
        </w:rPr>
        <w:t>.</w:t>
      </w:r>
      <w:r w:rsidR="004D70A6">
        <w:rPr>
          <w:lang w:eastAsia="en-GB"/>
        </w:rPr>
        <w:t xml:space="preserve">  In September 2014, rather than revising Assuring Transformation, the scope of the Mental Health Services data set was expanded to include contact with </w:t>
      </w:r>
      <w:r w:rsidR="005F5863">
        <w:rPr>
          <w:lang w:eastAsia="en-GB"/>
        </w:rPr>
        <w:t>people with learning disabilities</w:t>
      </w:r>
      <w:r w:rsidR="004D70A6">
        <w:rPr>
          <w:lang w:eastAsia="en-GB"/>
        </w:rPr>
        <w:t xml:space="preserve"> and autistic people in the return</w:t>
      </w:r>
      <w:r w:rsidR="004D70A6">
        <w:rPr>
          <w:rStyle w:val="FootnoteReference"/>
          <w:lang w:eastAsia="en-GB"/>
        </w:rPr>
        <w:footnoteReference w:id="19"/>
      </w:r>
      <w:r w:rsidR="004D70A6">
        <w:rPr>
          <w:lang w:eastAsia="en-GB"/>
        </w:rPr>
        <w:t xml:space="preserve">.  </w:t>
      </w:r>
      <w:r w:rsidR="003C120B">
        <w:rPr>
          <w:lang w:eastAsia="en-GB"/>
        </w:rPr>
        <w:t xml:space="preserve">The Mental Health Services Data Set aims to </w:t>
      </w:r>
      <w:r w:rsidR="003C120B" w:rsidRPr="003C120B">
        <w:rPr>
          <w:lang w:eastAsia="en-GB"/>
        </w:rPr>
        <w:t>provide up to date information about the numbers of people using services, spending time in psychiatric hospitals and subject to the Mental Health Act (MHA).</w:t>
      </w:r>
    </w:p>
    <w:p w14:paraId="2485DA8F" w14:textId="40664409" w:rsidR="00440463" w:rsidRDefault="00516EDB" w:rsidP="000F0BEC">
      <w:pPr>
        <w:rPr>
          <w:lang w:eastAsia="en-GB"/>
        </w:rPr>
      </w:pPr>
      <w:r>
        <w:rPr>
          <w:lang w:eastAsia="en-GB"/>
        </w:rPr>
        <w:t xml:space="preserve">Both data sets have continued to be collected and reported on during the Transforming Care Programme.  They report different numbers of </w:t>
      </w:r>
      <w:r w:rsidR="005F5863">
        <w:rPr>
          <w:lang w:eastAsia="en-GB"/>
        </w:rPr>
        <w:t xml:space="preserve">people with learning disabilities </w:t>
      </w:r>
      <w:r w:rsidR="00B94C64">
        <w:rPr>
          <w:lang w:eastAsia="en-GB"/>
        </w:rPr>
        <w:t xml:space="preserve">and autistic </w:t>
      </w:r>
      <w:r>
        <w:rPr>
          <w:lang w:eastAsia="en-GB"/>
        </w:rPr>
        <w:t>people experiencing inpatient stays</w:t>
      </w:r>
      <w:r w:rsidR="00D809D2">
        <w:rPr>
          <w:lang w:eastAsia="en-GB"/>
        </w:rPr>
        <w:t xml:space="preserve"> with the Assuring Transformation data set reducing</w:t>
      </w:r>
      <w:r w:rsidR="00400AE5">
        <w:rPr>
          <w:lang w:eastAsia="en-GB"/>
        </w:rPr>
        <w:t>, whilst the Mental Health Services Data Set shows an increasing inpatient population</w:t>
      </w:r>
      <w:r w:rsidR="005F5863">
        <w:rPr>
          <w:lang w:eastAsia="en-GB"/>
        </w:rPr>
        <w:t xml:space="preserve"> (see Figure </w:t>
      </w:r>
      <w:r w:rsidR="00BF6E8C">
        <w:rPr>
          <w:lang w:eastAsia="en-GB"/>
        </w:rPr>
        <w:t>1</w:t>
      </w:r>
      <w:r w:rsidR="005F5863">
        <w:rPr>
          <w:lang w:eastAsia="en-GB"/>
        </w:rPr>
        <w:t>)</w:t>
      </w:r>
      <w:r w:rsidR="00400AE5">
        <w:rPr>
          <w:lang w:eastAsia="en-GB"/>
        </w:rPr>
        <w:t>.</w:t>
      </w:r>
    </w:p>
    <w:p w14:paraId="493CFA84" w14:textId="77777777" w:rsidR="00A90DF3" w:rsidRDefault="00D809D2" w:rsidP="00A90DF3">
      <w:r>
        <w:rPr>
          <w:noProof/>
          <w:lang w:eastAsia="en-GB"/>
        </w:rPr>
        <w:lastRenderedPageBreak/>
        <w:drawing>
          <wp:inline distT="0" distB="0" distL="0" distR="0" wp14:anchorId="3729D996" wp14:editId="2AAF384B">
            <wp:extent cx="5658485" cy="2716696"/>
            <wp:effectExtent l="0" t="0" r="0" b="7620"/>
            <wp:docPr id="12" name="Chart 12">
              <a:extLst xmlns:a="http://schemas.openxmlformats.org/drawingml/2006/main">
                <a:ext uri="{FF2B5EF4-FFF2-40B4-BE49-F238E27FC236}">
                  <a16:creationId xmlns:a16="http://schemas.microsoft.com/office/drawing/2014/main" id="{C249BA90-4EDE-45E5-B3F0-4BAF3AEA9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3E684F" w14:textId="392B327F" w:rsidR="00D809D2" w:rsidRPr="007C37EB" w:rsidRDefault="00400AE5" w:rsidP="00A90DF3">
      <w:pPr>
        <w:pStyle w:val="Figures"/>
        <w:rPr>
          <w:lang w:eastAsia="en-GB"/>
        </w:rPr>
      </w:pPr>
      <w:bookmarkStart w:id="23" w:name="_Toc13644477"/>
      <w:r w:rsidRPr="007C37EB">
        <w:t xml:space="preserve">Figure </w:t>
      </w:r>
      <w:r w:rsidR="00BF6E8C" w:rsidRPr="007C37EB">
        <w:t>1</w:t>
      </w:r>
      <w:r w:rsidRPr="007C37EB">
        <w:t xml:space="preserve"> showing the number of people reported as being in patient units by Assuring </w:t>
      </w:r>
      <w:r w:rsidRPr="00DD6F18">
        <w:t>Transformation</w:t>
      </w:r>
      <w:r w:rsidRPr="007C37EB">
        <w:t xml:space="preserve"> (AT) and the Mental Health Services Data Set (MHSDS)</w:t>
      </w:r>
      <w:bookmarkEnd w:id="23"/>
    </w:p>
    <w:p w14:paraId="151972DA" w14:textId="098DB696" w:rsidR="00D809D2" w:rsidRDefault="00D809D2" w:rsidP="000F0BEC">
      <w:pPr>
        <w:rPr>
          <w:lang w:eastAsia="en-GB"/>
        </w:rPr>
      </w:pPr>
      <w:r>
        <w:rPr>
          <w:lang w:eastAsia="en-GB"/>
        </w:rPr>
        <w:t xml:space="preserve">Accepting </w:t>
      </w:r>
      <w:r w:rsidR="00307324">
        <w:rPr>
          <w:lang w:eastAsia="en-GB"/>
        </w:rPr>
        <w:t>that 2,600 people in inpatient units was the baseline for Transforming Care</w:t>
      </w:r>
      <w:r>
        <w:rPr>
          <w:lang w:eastAsia="en-GB"/>
        </w:rPr>
        <w:t>:</w:t>
      </w:r>
    </w:p>
    <w:p w14:paraId="758523EF" w14:textId="29635045" w:rsidR="0096521F" w:rsidRPr="005D0185" w:rsidRDefault="001D69E7" w:rsidP="000F0BEC">
      <w:pPr>
        <w:pStyle w:val="ListParagraph"/>
        <w:numPr>
          <w:ilvl w:val="0"/>
          <w:numId w:val="32"/>
        </w:numPr>
        <w:rPr>
          <w:i/>
        </w:rPr>
      </w:pPr>
      <w:r w:rsidRPr="00440463">
        <w:rPr>
          <w:lang w:eastAsia="en-GB"/>
        </w:rPr>
        <w:t xml:space="preserve">NHS Digital </w:t>
      </w:r>
      <w:r w:rsidR="00670630" w:rsidRPr="00440463">
        <w:rPr>
          <w:lang w:eastAsia="en-GB"/>
        </w:rPr>
        <w:t xml:space="preserve">provisional Assuring Transformation statistics </w:t>
      </w:r>
      <w:r w:rsidR="00516EDB" w:rsidRPr="00440463">
        <w:rPr>
          <w:lang w:eastAsia="en-GB"/>
        </w:rPr>
        <w:t>release 17</w:t>
      </w:r>
      <w:r w:rsidRPr="00440463">
        <w:rPr>
          <w:lang w:eastAsia="en-GB"/>
        </w:rPr>
        <w:t xml:space="preserve"> January 2019</w:t>
      </w:r>
      <w:r w:rsidR="00516EDB">
        <w:rPr>
          <w:rStyle w:val="FootnoteReference"/>
          <w:lang w:eastAsia="en-GB"/>
        </w:rPr>
        <w:footnoteReference w:id="20"/>
      </w:r>
      <w:r w:rsidRPr="00440463">
        <w:rPr>
          <w:lang w:eastAsia="en-GB"/>
        </w:rPr>
        <w:t xml:space="preserve">, </w:t>
      </w:r>
      <w:r w:rsidR="00516EDB" w:rsidRPr="00440463">
        <w:rPr>
          <w:lang w:eastAsia="en-GB"/>
        </w:rPr>
        <w:t xml:space="preserve">reported that </w:t>
      </w:r>
      <w:r w:rsidRPr="00440463">
        <w:rPr>
          <w:lang w:eastAsia="en-GB"/>
        </w:rPr>
        <w:t>there were 2,305</w:t>
      </w:r>
      <w:r w:rsidR="00516EDB" w:rsidRPr="00440463">
        <w:rPr>
          <w:lang w:eastAsia="en-GB"/>
        </w:rPr>
        <w:t xml:space="preserve"> </w:t>
      </w:r>
      <w:r w:rsidRPr="00440463">
        <w:rPr>
          <w:lang w:eastAsia="en-GB"/>
        </w:rPr>
        <w:t xml:space="preserve">people in inpatient </w:t>
      </w:r>
      <w:r w:rsidR="00A8760C" w:rsidRPr="00440463">
        <w:rPr>
          <w:lang w:eastAsia="en-GB"/>
        </w:rPr>
        <w:t>beds</w:t>
      </w:r>
      <w:r w:rsidR="00516EDB" w:rsidRPr="00440463">
        <w:rPr>
          <w:lang w:eastAsia="en-GB"/>
        </w:rPr>
        <w:t xml:space="preserve"> as of the end of December 2018</w:t>
      </w:r>
      <w:r w:rsidR="00A8760C" w:rsidRPr="00440463">
        <w:rPr>
          <w:lang w:eastAsia="en-GB"/>
        </w:rPr>
        <w:t>, which would be an 11% reduction in the number of people in in</w:t>
      </w:r>
      <w:r w:rsidR="00670630" w:rsidRPr="00440463">
        <w:rPr>
          <w:lang w:eastAsia="en-GB"/>
        </w:rPr>
        <w:t>pa</w:t>
      </w:r>
      <w:r w:rsidR="00A8760C" w:rsidRPr="00440463">
        <w:rPr>
          <w:lang w:eastAsia="en-GB"/>
        </w:rPr>
        <w:t>tient units</w:t>
      </w:r>
      <w:r w:rsidR="00516EDB" w:rsidRPr="00440463">
        <w:rPr>
          <w:lang w:eastAsia="en-GB"/>
        </w:rPr>
        <w:t>.  Ho</w:t>
      </w:r>
      <w:r w:rsidR="00670630" w:rsidRPr="00440463">
        <w:rPr>
          <w:lang w:eastAsia="en-GB"/>
        </w:rPr>
        <w:t>wever</w:t>
      </w:r>
      <w:r w:rsidR="00440463" w:rsidRPr="00440463">
        <w:rPr>
          <w:lang w:eastAsia="en-GB"/>
        </w:rPr>
        <w:t>,</w:t>
      </w:r>
      <w:r w:rsidR="00670630" w:rsidRPr="00440463">
        <w:rPr>
          <w:lang w:eastAsia="en-GB"/>
        </w:rPr>
        <w:t xml:space="preserve"> the Mental Health Services Data Set</w:t>
      </w:r>
      <w:r w:rsidR="00516EDB" w:rsidRPr="00440463">
        <w:rPr>
          <w:lang w:eastAsia="en-GB"/>
        </w:rPr>
        <w:t xml:space="preserve"> </w:t>
      </w:r>
      <w:r w:rsidR="00670630" w:rsidRPr="00440463">
        <w:rPr>
          <w:lang w:eastAsia="en-GB"/>
        </w:rPr>
        <w:t>reported that as of the end of October 2018 there were 3,575 people in inpatient beds</w:t>
      </w:r>
      <w:r w:rsidR="00440463" w:rsidRPr="00440463">
        <w:rPr>
          <w:lang w:eastAsia="en-GB"/>
        </w:rPr>
        <w:t>.</w:t>
      </w:r>
      <w:r w:rsidR="00670630" w:rsidRPr="00440463">
        <w:rPr>
          <w:lang w:eastAsia="en-GB"/>
        </w:rPr>
        <w:t xml:space="preserve"> </w:t>
      </w:r>
    </w:p>
    <w:p w14:paraId="6684F4CF" w14:textId="270A639D" w:rsidR="00155613" w:rsidRPr="00155613" w:rsidRDefault="00BA5F08" w:rsidP="000F0BEC">
      <w:r>
        <w:t>“</w:t>
      </w:r>
      <w:r w:rsidR="00640BBA" w:rsidRPr="00F06042">
        <w:rPr>
          <w:i/>
        </w:rPr>
        <w:t>For every one million adults, t</w:t>
      </w:r>
      <w:r w:rsidR="00155613" w:rsidRPr="00F06042">
        <w:rPr>
          <w:i/>
        </w:rPr>
        <w:t>here will be no more than 30 people with a learning disability and/or autism cared for in an inpatient unit</w:t>
      </w:r>
      <w:r w:rsidR="00155613" w:rsidRPr="00155613">
        <w:t>.</w:t>
      </w:r>
      <w:r>
        <w:t xml:space="preserve">” </w:t>
      </w:r>
      <w:r w:rsidR="00155613" w:rsidRPr="00155613">
        <w:t xml:space="preserve"> (NHS Long Term Plan para 3.34)</w:t>
      </w:r>
    </w:p>
    <w:p w14:paraId="190FDF92" w14:textId="511CCDC7" w:rsidR="00F3450A" w:rsidRDefault="00AA3C8D" w:rsidP="000F0BEC">
      <w:r>
        <w:t xml:space="preserve">At the start of Transforming Care, in </w:t>
      </w:r>
      <w:r w:rsidR="00CE65FE">
        <w:t xml:space="preserve">April 2016, </w:t>
      </w:r>
      <w:r w:rsidR="00155613" w:rsidRPr="00670AEC">
        <w:t>48 T</w:t>
      </w:r>
      <w:r w:rsidR="00CE65FE">
        <w:t>ransforming Care Partnerships</w:t>
      </w:r>
      <w:r w:rsidR="00155613" w:rsidRPr="00670AEC">
        <w:t xml:space="preserve"> produced plans</w:t>
      </w:r>
      <w:r w:rsidR="00E32A36">
        <w:rPr>
          <w:rStyle w:val="FootnoteReference"/>
        </w:rPr>
        <w:footnoteReference w:id="21"/>
      </w:r>
      <w:r w:rsidR="00155613" w:rsidRPr="00670AEC">
        <w:t xml:space="preserve"> </w:t>
      </w:r>
      <w:r w:rsidR="00CE65FE">
        <w:t>in which they reported a baseline inpatient rate of</w:t>
      </w:r>
      <w:r w:rsidR="00155613" w:rsidRPr="00670AEC">
        <w:t xml:space="preserve"> </w:t>
      </w:r>
      <w:r w:rsidR="0060225C">
        <w:t xml:space="preserve">53 </w:t>
      </w:r>
      <w:r w:rsidR="00155613" w:rsidRPr="00670AEC">
        <w:t xml:space="preserve">per </w:t>
      </w:r>
      <w:r w:rsidR="008F20E7">
        <w:t>m</w:t>
      </w:r>
      <w:r w:rsidR="00155613" w:rsidRPr="00670AEC">
        <w:t>illion GP Registered Population</w:t>
      </w:r>
      <w:r w:rsidR="00155613">
        <w:t xml:space="preserve"> in April 2016</w:t>
      </w:r>
      <w:r w:rsidR="0096521F">
        <w:t xml:space="preserve"> (see </w:t>
      </w:r>
      <w:r w:rsidR="008F20E7">
        <w:t>F</w:t>
      </w:r>
      <w:r w:rsidR="0096521F">
        <w:t>igure</w:t>
      </w:r>
      <w:r w:rsidR="00E32A36">
        <w:t xml:space="preserve"> </w:t>
      </w:r>
      <w:r w:rsidR="00BF6E8C">
        <w:t>2</w:t>
      </w:r>
      <w:r w:rsidR="0096521F">
        <w:t>)</w:t>
      </w:r>
      <w:r w:rsidR="00155613">
        <w:t xml:space="preserve">.  To achieve a rate of 30 per million GP registered population by March 2023/24 would require a </w:t>
      </w:r>
      <w:r w:rsidR="001A7324">
        <w:t>43</w:t>
      </w:r>
      <w:r w:rsidR="00155613">
        <w:t>% reduction in the number of people detained in inpatient units</w:t>
      </w:r>
      <w:r w:rsidR="001A7324">
        <w:t xml:space="preserve"> from the April 2016 rate.</w:t>
      </w:r>
    </w:p>
    <w:p w14:paraId="0A44EB29" w14:textId="77777777" w:rsidR="00A90DF3" w:rsidRDefault="00BF6E8C" w:rsidP="00A90DF3">
      <w:r>
        <w:rPr>
          <w:noProof/>
          <w:lang w:eastAsia="en-GB"/>
        </w:rPr>
        <w:lastRenderedPageBreak/>
        <w:drawing>
          <wp:inline distT="0" distB="0" distL="0" distR="0" wp14:anchorId="69B5C816" wp14:editId="0DC7127F">
            <wp:extent cx="6073140" cy="3712191"/>
            <wp:effectExtent l="0" t="0" r="3810" b="3175"/>
            <wp:docPr id="15" name="Chart 1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67730F" w14:textId="2DD2C7BA" w:rsidR="00BF6E8C" w:rsidRPr="00A90DF3" w:rsidRDefault="00BF6E8C" w:rsidP="00A90DF3">
      <w:pPr>
        <w:pStyle w:val="Figures"/>
      </w:pPr>
      <w:bookmarkStart w:id="24" w:name="_Toc13644478"/>
      <w:r w:rsidRPr="00A90DF3">
        <w:t>Figure 2 Inpatient rates per million people registered with GPs by TCP area, the column in blue is the baseline reported by the 48 TCPs in 2016, the column in red is the 2019 TCP target in keeping with Building the Right Support, the green line is the projected percentile change required</w:t>
      </w:r>
      <w:bookmarkEnd w:id="24"/>
      <w:r w:rsidRPr="00A90DF3">
        <w:t xml:space="preserve"> </w:t>
      </w:r>
    </w:p>
    <w:p w14:paraId="2E7AA1B5" w14:textId="66195DCB" w:rsidR="00CE65FE" w:rsidRDefault="0060225C" w:rsidP="000F0BEC">
      <w:r>
        <w:t>The</w:t>
      </w:r>
      <w:r w:rsidR="00CE65FE">
        <w:t xml:space="preserve"> 48</w:t>
      </w:r>
      <w:r>
        <w:t xml:space="preserve"> TCPs each submitted </w:t>
      </w:r>
      <w:r w:rsidR="00CE65FE">
        <w:t xml:space="preserve">in April 2016 </w:t>
      </w:r>
      <w:r>
        <w:t>a forecast target which, if their plans were fully supported and resourced by NHS England and partners,</w:t>
      </w:r>
      <w:r w:rsidR="00CE65FE">
        <w:t xml:space="preserve"> they believed they could achieve</w:t>
      </w:r>
      <w:r>
        <w:t xml:space="preserve"> by March 2019.  The </w:t>
      </w:r>
      <w:r w:rsidR="001A7324">
        <w:t xml:space="preserve">average TCP target inpatient rate per million </w:t>
      </w:r>
      <w:r w:rsidR="00CE65FE">
        <w:t xml:space="preserve">GP registered </w:t>
      </w:r>
      <w:r w:rsidR="001A7324">
        <w:t xml:space="preserve">population was </w:t>
      </w:r>
      <w:r w:rsidR="00CE65FE">
        <w:t>31</w:t>
      </w:r>
      <w:r w:rsidR="00573359">
        <w:t>.</w:t>
      </w:r>
    </w:p>
    <w:p w14:paraId="562DC0CF" w14:textId="739F3B67" w:rsidR="0060225C" w:rsidRDefault="00CE65FE" w:rsidP="000F0BEC">
      <w:r>
        <w:t xml:space="preserve">The Mental Health Services Data Set includes </w:t>
      </w:r>
      <w:r w:rsidR="005D0185">
        <w:t>information about how long</w:t>
      </w:r>
      <w:r w:rsidR="00DB1857">
        <w:t xml:space="preserve"> some</w:t>
      </w:r>
      <w:r w:rsidR="005D0185">
        <w:t xml:space="preserve"> people have been in hospital</w:t>
      </w:r>
      <w:r w:rsidR="00DB1857">
        <w:t>.  It showed that</w:t>
      </w:r>
      <w:r w:rsidR="005D0185">
        <w:t xml:space="preserve"> </w:t>
      </w:r>
      <w:r w:rsidR="00DB1857">
        <w:t xml:space="preserve">half of people reported on had been in hospital for over a year, and </w:t>
      </w:r>
      <w:r w:rsidR="005D0185">
        <w:t xml:space="preserve">15% </w:t>
      </w:r>
      <w:r w:rsidR="00DB1857">
        <w:t xml:space="preserve">had been in hospital for </w:t>
      </w:r>
      <w:r w:rsidR="005D0185">
        <w:t xml:space="preserve">more than </w:t>
      </w:r>
      <w:r w:rsidR="001E098B">
        <w:t>five</w:t>
      </w:r>
      <w:r w:rsidR="005D0185">
        <w:t xml:space="preserve"> years </w:t>
      </w:r>
      <w:r w:rsidR="00240A7B">
        <w:t xml:space="preserve">(see </w:t>
      </w:r>
      <w:r w:rsidR="008F20E7">
        <w:t>F</w:t>
      </w:r>
      <w:r w:rsidR="00240A7B">
        <w:t xml:space="preserve">igure </w:t>
      </w:r>
      <w:r w:rsidR="00F06042">
        <w:t>3</w:t>
      </w:r>
      <w:r w:rsidR="00240A7B">
        <w:rPr>
          <w:rStyle w:val="FootnoteReference"/>
          <w:lang w:eastAsia="en-GB"/>
        </w:rPr>
        <w:footnoteReference w:id="22"/>
      </w:r>
      <w:r w:rsidR="00240A7B">
        <w:t>)</w:t>
      </w:r>
      <w:r>
        <w:t xml:space="preserve">.  </w:t>
      </w:r>
    </w:p>
    <w:p w14:paraId="21A1D87D" w14:textId="77777777" w:rsidR="00240A7B" w:rsidRDefault="00240A7B" w:rsidP="000F0BEC">
      <w:r>
        <w:rPr>
          <w:noProof/>
          <w:lang w:eastAsia="en-GB"/>
        </w:rPr>
        <w:lastRenderedPageBreak/>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cx2">
            <w:drawing>
              <wp:inline distT="0" distB="0" distL="0" distR="0" wp14:anchorId="4F88E690" wp14:editId="0756B98B">
                <wp:extent cx="5777865" cy="3485322"/>
                <wp:effectExtent l="0" t="0" r="13335" b="1270"/>
                <wp:docPr id="18" name="Chart 18">
                  <a:extLst xmlns:a="http://schemas.openxmlformats.org/drawingml/2006/main">
                    <a:ext uri="{FF2B5EF4-FFF2-40B4-BE49-F238E27FC236}">
                      <a16:creationId xmlns:a16="http://schemas.microsoft.com/office/drawing/2014/main" id="{EF7F5950-E138-4737-84EF-60DD3101D58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4F88E690" wp14:editId="0756B98B">
                <wp:extent cx="5777865" cy="3485322"/>
                <wp:effectExtent l="0" t="0" r="13335" b="1270"/>
                <wp:docPr id="18" name="Chart 18">
                  <a:extLst xmlns:a="http://schemas.openxmlformats.org/drawingml/2006/main">
                    <a:ext uri="{FF2B5EF4-FFF2-40B4-BE49-F238E27FC236}">
                      <a16:creationId xmlns:a16="http://schemas.microsoft.com/office/drawing/2014/main" id="{EF7F5950-E138-4737-84EF-60DD3101D58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Chart 18">
                          <a:extLst>
                            <a:ext uri="{FF2B5EF4-FFF2-40B4-BE49-F238E27FC236}">
                              <a16:creationId xmlns:a16="http://schemas.microsoft.com/office/drawing/2014/main" id="{EF7F5950-E138-4737-84EF-60DD3101D589}"/>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5777865" cy="3484880"/>
                        </a:xfrm>
                        <a:prstGeom prst="rect">
                          <a:avLst/>
                        </a:prstGeom>
                      </pic:spPr>
                    </pic:pic>
                  </a:graphicData>
                </a:graphic>
              </wp:inline>
            </w:drawing>
          </mc:Fallback>
        </mc:AlternateContent>
      </w:r>
    </w:p>
    <w:p w14:paraId="1471FE9C" w14:textId="3D75CD5C" w:rsidR="00240A7B" w:rsidRPr="00240A7B" w:rsidRDefault="00240A7B" w:rsidP="00A90DF3">
      <w:pPr>
        <w:pStyle w:val="Figures"/>
      </w:pPr>
      <w:bookmarkStart w:id="25" w:name="_Toc13644479"/>
      <w:r w:rsidRPr="00240A7B">
        <w:t xml:space="preserve">Figure </w:t>
      </w:r>
      <w:r w:rsidR="00F06042">
        <w:t>3</w:t>
      </w:r>
      <w:r>
        <w:t xml:space="preserve"> Length of stay for people in hospital who were reported by providers as being present at the end of the November 2018 in the MHSDS</w:t>
      </w:r>
      <w:bookmarkEnd w:id="25"/>
    </w:p>
    <w:p w14:paraId="28DE1F91" w14:textId="1555118A" w:rsidR="007A0D54" w:rsidRDefault="00240A7B" w:rsidP="000F0BEC">
      <w:pPr>
        <w:sectPr w:rsidR="007A0D54" w:rsidSect="007C37EB">
          <w:pgSz w:w="11906" w:h="16838"/>
          <w:pgMar w:top="1440" w:right="1440" w:bottom="1440" w:left="1440" w:header="709" w:footer="283" w:gutter="0"/>
          <w:cols w:space="708"/>
          <w:docGrid w:linePitch="381"/>
        </w:sectPr>
      </w:pPr>
      <w:r>
        <w:t xml:space="preserve">For the TCP areas, this equates to an inpatient rate per million GP registered population of 35.  There are rates of variation in performance between TCP areas shown in </w:t>
      </w:r>
      <w:r w:rsidR="008F20E7">
        <w:t>F</w:t>
      </w:r>
      <w:r>
        <w:t xml:space="preserve">igure </w:t>
      </w:r>
      <w:r w:rsidR="006E5380">
        <w:t>2</w:t>
      </w:r>
      <w:r>
        <w:t xml:space="preserve"> which are not explainable by population prevalence, which is consistent with our previously reported findings</w:t>
      </w:r>
      <w:r>
        <w:rPr>
          <w:rStyle w:val="FootnoteReference"/>
        </w:rPr>
        <w:footnoteReference w:id="23"/>
      </w:r>
      <w:r>
        <w:t>.</w:t>
      </w:r>
    </w:p>
    <w:p w14:paraId="6A1FF57C" w14:textId="3E0F24DC" w:rsidR="00670AEC" w:rsidRDefault="00155613" w:rsidP="00D80F6B">
      <w:pPr>
        <w:pStyle w:val="Heading2"/>
      </w:pPr>
      <w:bookmarkStart w:id="26" w:name="_Toc12477551"/>
      <w:r>
        <w:lastRenderedPageBreak/>
        <w:t xml:space="preserve">Has the number of inpatient beds for </w:t>
      </w:r>
      <w:r w:rsidR="008F20E7">
        <w:t>people with learning disabilities</w:t>
      </w:r>
      <w:r>
        <w:t xml:space="preserve"> reduced?</w:t>
      </w:r>
      <w:bookmarkEnd w:id="26"/>
    </w:p>
    <w:p w14:paraId="1E595EA6" w14:textId="52D72DD7" w:rsidR="00670AEC" w:rsidRPr="00155613" w:rsidRDefault="00BA5F08" w:rsidP="000F0BEC">
      <w:r>
        <w:t>“</w:t>
      </w:r>
      <w:r w:rsidR="00670AEC" w:rsidRPr="00F06042">
        <w:rPr>
          <w:i/>
        </w:rPr>
        <w:t>By March 2023/24, inpatient provision will have reduced to less than half of 2015 levels (on a like for like basis and taking into account population growth) and, for every</w:t>
      </w:r>
      <w:r w:rsidR="00B95852" w:rsidRPr="00F06042">
        <w:rPr>
          <w:i/>
        </w:rPr>
        <w:t xml:space="preserve"> </w:t>
      </w:r>
      <w:r w:rsidR="00670AEC" w:rsidRPr="00F06042">
        <w:rPr>
          <w:i/>
        </w:rPr>
        <w:t>one million adults</w:t>
      </w:r>
      <w:r>
        <w:t>”</w:t>
      </w:r>
      <w:r w:rsidR="00670AEC" w:rsidRPr="00155613">
        <w:t xml:space="preserve"> (NHS Long Term Plan para 3.34)</w:t>
      </w:r>
    </w:p>
    <w:p w14:paraId="19FDDE26" w14:textId="41C1DE09" w:rsidR="006E5380" w:rsidRDefault="000235F4" w:rsidP="000F0BEC">
      <w:pPr>
        <w:rPr>
          <w:lang w:eastAsia="en-GB"/>
        </w:rPr>
      </w:pPr>
      <w:r>
        <w:rPr>
          <w:lang w:eastAsia="en-GB"/>
        </w:rPr>
        <w:t xml:space="preserve">Since the early 1980s, there has been a sustained programme of closing NHS </w:t>
      </w:r>
      <w:r w:rsidR="006E5380">
        <w:rPr>
          <w:lang w:eastAsia="en-GB"/>
        </w:rPr>
        <w:t>Trust provided specialist</w:t>
      </w:r>
      <w:r>
        <w:rPr>
          <w:lang w:eastAsia="en-GB"/>
        </w:rPr>
        <w:t xml:space="preserve"> beds </w:t>
      </w:r>
      <w:r w:rsidR="00482ABC">
        <w:rPr>
          <w:lang w:eastAsia="en-GB"/>
        </w:rPr>
        <w:t xml:space="preserve">for people with learning disabilities </w:t>
      </w:r>
      <w:r>
        <w:rPr>
          <w:lang w:eastAsia="en-GB"/>
        </w:rPr>
        <w:t xml:space="preserve">(see </w:t>
      </w:r>
      <w:r w:rsidR="000B3BB7">
        <w:rPr>
          <w:lang w:eastAsia="en-GB"/>
        </w:rPr>
        <w:t>F</w:t>
      </w:r>
      <w:r>
        <w:rPr>
          <w:lang w:eastAsia="en-GB"/>
        </w:rPr>
        <w:t xml:space="preserve">igure </w:t>
      </w:r>
      <w:r w:rsidR="00F06042">
        <w:rPr>
          <w:lang w:eastAsia="en-GB"/>
        </w:rPr>
        <w:t>4</w:t>
      </w:r>
      <w:r>
        <w:rPr>
          <w:lang w:eastAsia="en-GB"/>
        </w:rPr>
        <w:t xml:space="preserve">).  </w:t>
      </w:r>
    </w:p>
    <w:p w14:paraId="5E7D13E4" w14:textId="77777777" w:rsidR="006E5380" w:rsidRDefault="006E5380" w:rsidP="000F0BEC">
      <w:r>
        <w:rPr>
          <w:noProof/>
          <w:lang w:eastAsia="en-GB"/>
        </w:rPr>
        <w:drawing>
          <wp:inline distT="0" distB="0" distL="0" distR="0" wp14:anchorId="299AD5F8" wp14:editId="10CEF221">
            <wp:extent cx="5800725" cy="35337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70E8AB" w14:textId="62088F9C" w:rsidR="006E5380" w:rsidRPr="006E5380" w:rsidRDefault="006E5380" w:rsidP="00A90DF3">
      <w:pPr>
        <w:pStyle w:val="Figures"/>
      </w:pPr>
      <w:bookmarkStart w:id="27" w:name="_Toc13644480"/>
      <w:r w:rsidRPr="006E5380">
        <w:t xml:space="preserve">Figure </w:t>
      </w:r>
      <w:r w:rsidR="00F06042">
        <w:t>4</w:t>
      </w:r>
      <w:r w:rsidRPr="006E5380">
        <w:t xml:space="preserve"> NHS Trust provided specialist learning disability beds since 1987</w:t>
      </w:r>
      <w:r w:rsidRPr="006E5380">
        <w:rPr>
          <w:rStyle w:val="FootnoteReference"/>
          <w:rFonts w:ascii="Arial" w:hAnsi="Arial" w:cs="Arial"/>
          <w:i w:val="0"/>
          <w:sz w:val="22"/>
          <w:szCs w:val="22"/>
        </w:rPr>
        <w:footnoteReference w:id="24"/>
      </w:r>
      <w:bookmarkEnd w:id="27"/>
      <w:r w:rsidRPr="006E5380">
        <w:t xml:space="preserve"> </w:t>
      </w:r>
    </w:p>
    <w:p w14:paraId="1D397E12" w14:textId="41D93D4D" w:rsidR="00670AEC" w:rsidRPr="005D3477" w:rsidRDefault="00670AEC" w:rsidP="000F0BEC">
      <w:pPr>
        <w:rPr>
          <w:lang w:eastAsia="en-GB"/>
        </w:rPr>
      </w:pPr>
      <w:r w:rsidRPr="005D3477">
        <w:rPr>
          <w:lang w:eastAsia="en-GB"/>
        </w:rPr>
        <w:t xml:space="preserve">At the start of the Transforming Care Programme in April 2016, there were 1,248 NHS </w:t>
      </w:r>
      <w:r w:rsidR="006E5380">
        <w:rPr>
          <w:lang w:eastAsia="en-GB"/>
        </w:rPr>
        <w:t>Trust provided specialist beds</w:t>
      </w:r>
      <w:r w:rsidRPr="005D3477">
        <w:rPr>
          <w:lang w:eastAsia="en-GB"/>
        </w:rPr>
        <w:t xml:space="preserve"> for learning disabilities, occupied by 913 people (a</w:t>
      </w:r>
      <w:r w:rsidR="004C023B">
        <w:rPr>
          <w:lang w:eastAsia="en-GB"/>
        </w:rPr>
        <w:t>n occupancy</w:t>
      </w:r>
      <w:r w:rsidRPr="005D3477">
        <w:rPr>
          <w:lang w:eastAsia="en-GB"/>
        </w:rPr>
        <w:t xml:space="preserve"> rate of 73.5</w:t>
      </w:r>
      <w:r w:rsidR="004C023B">
        <w:rPr>
          <w:lang w:eastAsia="en-GB"/>
        </w:rPr>
        <w:t>%</w:t>
      </w:r>
      <w:r w:rsidRPr="005D3477">
        <w:rPr>
          <w:lang w:eastAsia="en-GB"/>
        </w:rPr>
        <w:t xml:space="preserve">).  As of December 2018, </w:t>
      </w:r>
      <w:r w:rsidR="006E5380">
        <w:rPr>
          <w:lang w:eastAsia="en-GB"/>
        </w:rPr>
        <w:t>the number of beds available had reduced by a fifth</w:t>
      </w:r>
      <w:r w:rsidRPr="005D3477">
        <w:rPr>
          <w:lang w:eastAsia="en-GB"/>
        </w:rPr>
        <w:t xml:space="preserve"> (20%)</w:t>
      </w:r>
      <w:r w:rsidR="006E5380">
        <w:rPr>
          <w:lang w:eastAsia="en-GB"/>
        </w:rPr>
        <w:t xml:space="preserve"> </w:t>
      </w:r>
      <w:r w:rsidRPr="005D3477">
        <w:rPr>
          <w:lang w:eastAsia="en-GB"/>
        </w:rPr>
        <w:t>down to 997.</w:t>
      </w:r>
      <w:r w:rsidRPr="005D3477">
        <w:t xml:space="preserve"> </w:t>
      </w:r>
      <w:r w:rsidRPr="005D3477">
        <w:rPr>
          <w:lang w:eastAsia="en-GB"/>
        </w:rPr>
        <w:t xml:space="preserve">These beds were occupied by 766 people, a 16% reduction </w:t>
      </w:r>
      <w:r w:rsidR="00AA28B0">
        <w:rPr>
          <w:lang w:eastAsia="en-GB"/>
        </w:rPr>
        <w:t>(</w:t>
      </w:r>
      <w:r w:rsidRPr="005D3477">
        <w:rPr>
          <w:lang w:eastAsia="en-GB"/>
        </w:rPr>
        <w:t>occupancy rate of 76.8%</w:t>
      </w:r>
      <w:r w:rsidR="00AA28B0">
        <w:rPr>
          <w:lang w:eastAsia="en-GB"/>
        </w:rPr>
        <w:t>)</w:t>
      </w:r>
      <w:r w:rsidRPr="005D3477">
        <w:rPr>
          <w:lang w:eastAsia="en-GB"/>
        </w:rPr>
        <w:t>.</w:t>
      </w:r>
      <w:r w:rsidR="000235F4">
        <w:rPr>
          <w:lang w:eastAsia="en-GB"/>
        </w:rPr>
        <w:t xml:space="preserve">  </w:t>
      </w:r>
    </w:p>
    <w:p w14:paraId="5FCB193B" w14:textId="77777777" w:rsidR="0096521F" w:rsidRDefault="00670AEC" w:rsidP="000F0BEC">
      <w:r>
        <w:rPr>
          <w:noProof/>
          <w:lang w:eastAsia="en-GB"/>
        </w:rPr>
        <w:lastRenderedPageBreak/>
        <w:drawing>
          <wp:inline distT="0" distB="0" distL="0" distR="0" wp14:anchorId="36AE9DE2" wp14:editId="5018B467">
            <wp:extent cx="5724939" cy="2955235"/>
            <wp:effectExtent l="0" t="0" r="0" b="0"/>
            <wp:docPr id="22" name="Chart 22">
              <a:extLst xmlns:a="http://schemas.openxmlformats.org/drawingml/2006/main">
                <a:ext uri="{FF2B5EF4-FFF2-40B4-BE49-F238E27FC236}">
                  <a16:creationId xmlns:a16="http://schemas.microsoft.com/office/drawing/2014/main" id="{790A6214-CCE9-495A-9192-0125DD120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14BEE4" w14:textId="7BD0BC38" w:rsidR="0096521F" w:rsidRPr="00E675EC" w:rsidRDefault="0096521F" w:rsidP="00A90DF3">
      <w:pPr>
        <w:pStyle w:val="Figures"/>
      </w:pPr>
      <w:bookmarkStart w:id="28" w:name="_Toc13644481"/>
      <w:r w:rsidRPr="0096521F">
        <w:t xml:space="preserve">Figure </w:t>
      </w:r>
      <w:r w:rsidR="00F06042">
        <w:t>5</w:t>
      </w:r>
      <w:r>
        <w:t xml:space="preserve"> NHS England specialist learning disability beds 2016 - 2019</w:t>
      </w:r>
      <w:r>
        <w:rPr>
          <w:rStyle w:val="FootnoteReference"/>
          <w:i w:val="0"/>
          <w:sz w:val="22"/>
          <w:szCs w:val="22"/>
        </w:rPr>
        <w:footnoteReference w:id="25"/>
      </w:r>
      <w:r>
        <w:t>, the blue column shows the number of beds available, the red column shows the number of beds occupied, and green line shows the percentage occupancy rate</w:t>
      </w:r>
      <w:bookmarkEnd w:id="28"/>
    </w:p>
    <w:p w14:paraId="41A63CA6" w14:textId="4515A131" w:rsidR="00670AEC" w:rsidRDefault="006E5380" w:rsidP="000F0BEC">
      <w:pPr>
        <w:rPr>
          <w:lang w:eastAsia="en-GB"/>
        </w:rPr>
      </w:pPr>
      <w:r>
        <w:rPr>
          <w:lang w:eastAsia="en-GB"/>
        </w:rPr>
        <w:t xml:space="preserve">In addition to the NHS Trust provided beds, there is also </w:t>
      </w:r>
      <w:r w:rsidR="00B7256C" w:rsidRPr="00B7256C">
        <w:rPr>
          <w:lang w:eastAsia="en-GB"/>
        </w:rPr>
        <w:t xml:space="preserve">an expansive and expanding private (independent) sector market of mental health hospitals supplying additional capacity to health commissioners.  Glover and Olson (2012) found that in 2006, a fifth (20%) of </w:t>
      </w:r>
      <w:r w:rsidR="00482ABC">
        <w:rPr>
          <w:lang w:eastAsia="en-GB"/>
        </w:rPr>
        <w:t xml:space="preserve">people with learning disabilities </w:t>
      </w:r>
      <w:r w:rsidR="00B7256C" w:rsidRPr="00B7256C">
        <w:rPr>
          <w:lang w:eastAsia="en-GB"/>
        </w:rPr>
        <w:t>in specialist mental health units were being treated in private hospitals.  By 2015 the proportion of people who were in ATUs within the independent sector had increased to 46%</w:t>
      </w:r>
      <w:r w:rsidR="00B7256C" w:rsidRPr="00B7256C">
        <w:rPr>
          <w:rStyle w:val="FootnoteReference"/>
          <w:iCs/>
        </w:rPr>
        <w:footnoteReference w:id="26"/>
      </w:r>
    </w:p>
    <w:p w14:paraId="74DC9834" w14:textId="351D4183" w:rsidR="00017342" w:rsidRDefault="00623488" w:rsidP="000F0BEC">
      <w:pPr>
        <w:rPr>
          <w:lang w:eastAsia="en-GB"/>
        </w:rPr>
      </w:pPr>
      <w:r>
        <w:rPr>
          <w:lang w:eastAsia="en-GB"/>
        </w:rPr>
        <w:t xml:space="preserve">To try and understand how the number of private sector beds may impact on the total number of beds available in the system which </w:t>
      </w:r>
      <w:r w:rsidR="009E188D">
        <w:rPr>
          <w:lang w:eastAsia="en-GB"/>
        </w:rPr>
        <w:t>people with learning disabilities</w:t>
      </w:r>
      <w:r>
        <w:rPr>
          <w:lang w:eastAsia="en-GB"/>
        </w:rPr>
        <w:t xml:space="preserve"> and/or autistic people may be detained in, for the purposes of assessment, care and treatment, analysis was undertaken on the Care Quality Commission locations registered for assessment,</w:t>
      </w:r>
      <w:r w:rsidR="00AC3B1A">
        <w:rPr>
          <w:lang w:eastAsia="en-GB"/>
        </w:rPr>
        <w:t xml:space="preserve"> care and</w:t>
      </w:r>
      <w:r>
        <w:rPr>
          <w:lang w:eastAsia="en-GB"/>
        </w:rPr>
        <w:t xml:space="preserve"> treatment </w:t>
      </w:r>
      <w:r w:rsidR="00AC3B1A">
        <w:rPr>
          <w:lang w:eastAsia="en-GB"/>
        </w:rPr>
        <w:t xml:space="preserve">for </w:t>
      </w:r>
      <w:r w:rsidR="009E188D">
        <w:rPr>
          <w:lang w:eastAsia="en-GB"/>
        </w:rPr>
        <w:t>people with learning disabilities</w:t>
      </w:r>
      <w:r w:rsidR="00AC3B1A">
        <w:rPr>
          <w:lang w:eastAsia="en-GB"/>
        </w:rPr>
        <w:t xml:space="preserve"> and people detained under the Mental Health Act 1983. </w:t>
      </w:r>
      <w:r w:rsidR="00017342">
        <w:rPr>
          <w:lang w:eastAsia="en-GB"/>
        </w:rPr>
        <w:t xml:space="preserve">These private sector beds can be registered with the Care Quality Commission for a number of different population groups, so the number of registered beds does not necessarily reflect the number of </w:t>
      </w:r>
      <w:r w:rsidR="00482ABC">
        <w:rPr>
          <w:lang w:eastAsia="en-GB"/>
        </w:rPr>
        <w:t xml:space="preserve">people with learning disabilities </w:t>
      </w:r>
      <w:r w:rsidR="00017342">
        <w:rPr>
          <w:lang w:eastAsia="en-GB"/>
        </w:rPr>
        <w:t xml:space="preserve">and autistic people in these locations.  </w:t>
      </w:r>
    </w:p>
    <w:p w14:paraId="0BB851A5" w14:textId="29BEF9BC" w:rsidR="00017342" w:rsidRDefault="00017342" w:rsidP="000F0BEC">
      <w:pPr>
        <w:rPr>
          <w:lang w:eastAsia="en-GB"/>
        </w:rPr>
      </w:pPr>
      <w:r>
        <w:rPr>
          <w:lang w:eastAsia="en-GB"/>
        </w:rPr>
        <w:lastRenderedPageBreak/>
        <w:t xml:space="preserve">We found </w:t>
      </w:r>
      <w:r w:rsidR="008B2750">
        <w:rPr>
          <w:lang w:eastAsia="en-GB"/>
        </w:rPr>
        <w:t xml:space="preserve">164 </w:t>
      </w:r>
      <w:r w:rsidR="00AC3B1A">
        <w:rPr>
          <w:lang w:eastAsia="en-GB"/>
        </w:rPr>
        <w:t xml:space="preserve">registered locations, owned by 19 independent sector Brands (see </w:t>
      </w:r>
      <w:r w:rsidR="009E188D">
        <w:rPr>
          <w:lang w:eastAsia="en-GB"/>
        </w:rPr>
        <w:t>T</w:t>
      </w:r>
      <w:r w:rsidR="00AC3B1A">
        <w:rPr>
          <w:lang w:eastAsia="en-GB"/>
        </w:rPr>
        <w:t>able 1</w:t>
      </w:r>
      <w:r>
        <w:rPr>
          <w:lang w:eastAsia="en-GB"/>
        </w:rPr>
        <w:t>) who were registered with the CCG to provide assessment, care and treatment for adults detained under the Mental Health Act</w:t>
      </w:r>
      <w:r w:rsidR="0013617F">
        <w:rPr>
          <w:lang w:eastAsia="en-GB"/>
        </w:rPr>
        <w:t xml:space="preserve"> (100 locations)</w:t>
      </w:r>
      <w:r>
        <w:rPr>
          <w:lang w:eastAsia="en-GB"/>
        </w:rPr>
        <w:t xml:space="preserve"> or whose registration included learning disabilities</w:t>
      </w:r>
      <w:r w:rsidR="0013617F">
        <w:rPr>
          <w:lang w:eastAsia="en-GB"/>
        </w:rPr>
        <w:t xml:space="preserve"> (64 locations)</w:t>
      </w:r>
      <w:r>
        <w:rPr>
          <w:lang w:eastAsia="en-GB"/>
        </w:rPr>
        <w:t xml:space="preserve"> as </w:t>
      </w:r>
      <w:r w:rsidR="0013617F">
        <w:rPr>
          <w:lang w:eastAsia="en-GB"/>
        </w:rPr>
        <w:t>one of the</w:t>
      </w:r>
      <w:r>
        <w:rPr>
          <w:lang w:eastAsia="en-GB"/>
        </w:rPr>
        <w:t xml:space="preserve"> named population group</w:t>
      </w:r>
      <w:r w:rsidR="0013617F">
        <w:rPr>
          <w:lang w:eastAsia="en-GB"/>
        </w:rPr>
        <w:t>s the provider supported</w:t>
      </w:r>
      <w:r>
        <w:rPr>
          <w:lang w:eastAsia="en-GB"/>
        </w:rPr>
        <w:t xml:space="preserve">.  The 19 Brands were </w:t>
      </w:r>
      <w:r w:rsidR="001C06F4">
        <w:rPr>
          <w:lang w:eastAsia="en-GB"/>
        </w:rPr>
        <w:t xml:space="preserve">operating through 46 </w:t>
      </w:r>
      <w:r>
        <w:rPr>
          <w:lang w:eastAsia="en-GB"/>
        </w:rPr>
        <w:t xml:space="preserve">named </w:t>
      </w:r>
      <w:r w:rsidR="001C06F4">
        <w:rPr>
          <w:lang w:eastAsia="en-GB"/>
        </w:rPr>
        <w:t>provider</w:t>
      </w:r>
      <w:r>
        <w:rPr>
          <w:lang w:eastAsia="en-GB"/>
        </w:rPr>
        <w:t>s</w:t>
      </w:r>
      <w:r w:rsidR="001C06F4">
        <w:rPr>
          <w:lang w:eastAsia="en-GB"/>
        </w:rPr>
        <w:t xml:space="preserve"> </w:t>
      </w:r>
      <w:r>
        <w:rPr>
          <w:lang w:eastAsia="en-GB"/>
        </w:rPr>
        <w:t xml:space="preserve">who managed </w:t>
      </w:r>
      <w:r w:rsidR="001C06F4">
        <w:rPr>
          <w:lang w:eastAsia="en-GB"/>
        </w:rPr>
        <w:t>164 locations</w:t>
      </w:r>
      <w:r>
        <w:rPr>
          <w:lang w:eastAsia="en-GB"/>
        </w:rPr>
        <w:t xml:space="preserve"> providing 6,006 registered beds</w:t>
      </w:r>
      <w:r w:rsidR="001C06F4">
        <w:rPr>
          <w:lang w:eastAsia="en-GB"/>
        </w:rPr>
        <w:t xml:space="preserve"> </w:t>
      </w:r>
      <w:r w:rsidR="004C7851">
        <w:rPr>
          <w:lang w:eastAsia="en-GB"/>
        </w:rPr>
        <w:t>for adults and a further 300 beds for children and young people’s mental health services (CAMHS</w:t>
      </w:r>
      <w:r>
        <w:rPr>
          <w:lang w:eastAsia="en-GB"/>
        </w:rPr>
        <w:t xml:space="preserve">).  </w:t>
      </w:r>
    </w:p>
    <w:p w14:paraId="564D5979" w14:textId="0F08BE87" w:rsidR="00017342" w:rsidRPr="00A90DF3" w:rsidRDefault="00017342" w:rsidP="00A90DF3">
      <w:pPr>
        <w:pStyle w:val="Table"/>
      </w:pPr>
      <w:bookmarkStart w:id="29" w:name="_Toc12521893"/>
      <w:bookmarkStart w:id="30" w:name="_Toc12522034"/>
      <w:bookmarkStart w:id="31" w:name="_Toc12522078"/>
      <w:r w:rsidRPr="00A90DF3">
        <w:t xml:space="preserve">Table </w:t>
      </w:r>
      <w:r w:rsidR="00243862">
        <w:fldChar w:fldCharType="begin"/>
      </w:r>
      <w:r w:rsidR="00243862">
        <w:instrText xml:space="preserve"> SEQ Table \* ARABIC </w:instrText>
      </w:r>
      <w:r w:rsidR="00243862">
        <w:fldChar w:fldCharType="separate"/>
      </w:r>
      <w:r w:rsidR="00657C12">
        <w:rPr>
          <w:noProof/>
        </w:rPr>
        <w:t>1</w:t>
      </w:r>
      <w:r w:rsidR="00243862">
        <w:rPr>
          <w:noProof/>
        </w:rPr>
        <w:fldChar w:fldCharType="end"/>
      </w:r>
      <w:r w:rsidRPr="00A90DF3">
        <w:t xml:space="preserve"> Brands of Independent Sector Providers of CQC Registered Assessment, Care and Treatment of </w:t>
      </w:r>
      <w:r w:rsidR="00482ABC">
        <w:rPr>
          <w:lang w:eastAsia="en-GB"/>
        </w:rPr>
        <w:t xml:space="preserve">people with learning disabilities </w:t>
      </w:r>
      <w:r w:rsidRPr="00A90DF3">
        <w:t>and people detained under the Mental Health Act</w:t>
      </w:r>
      <w:bookmarkEnd w:id="29"/>
      <w:bookmarkEnd w:id="30"/>
      <w:bookmarkEnd w:id="31"/>
    </w:p>
    <w:tbl>
      <w:tblPr>
        <w:tblStyle w:val="GridTable1Light1"/>
        <w:tblW w:w="9016" w:type="dxa"/>
        <w:tblLook w:val="0420" w:firstRow="1" w:lastRow="0" w:firstColumn="0" w:lastColumn="0" w:noHBand="0" w:noVBand="1"/>
      </w:tblPr>
      <w:tblGrid>
        <w:gridCol w:w="4064"/>
        <w:gridCol w:w="2541"/>
        <w:gridCol w:w="2411"/>
      </w:tblGrid>
      <w:tr w:rsidR="00017342" w:rsidRPr="00AC3B1A" w14:paraId="7F58A189" w14:textId="77777777" w:rsidTr="00F45D72">
        <w:trPr>
          <w:cnfStyle w:val="100000000000" w:firstRow="1" w:lastRow="0" w:firstColumn="0" w:lastColumn="0" w:oddVBand="0" w:evenVBand="0" w:oddHBand="0" w:evenHBand="0" w:firstRowFirstColumn="0" w:firstRowLastColumn="0" w:lastRowFirstColumn="0" w:lastRowLastColumn="0"/>
          <w:trHeight w:val="463"/>
        </w:trPr>
        <w:tc>
          <w:tcPr>
            <w:tcW w:w="4064" w:type="dxa"/>
            <w:tcBorders>
              <w:bottom w:val="none" w:sz="0" w:space="0" w:color="auto"/>
            </w:tcBorders>
            <w:shd w:val="clear" w:color="auto" w:fill="63A56E"/>
            <w:vAlign w:val="center"/>
            <w:hideMark/>
          </w:tcPr>
          <w:p w14:paraId="706E4BB3" w14:textId="20A1AEF8" w:rsidR="00017342" w:rsidRPr="00AC3B1A" w:rsidRDefault="00017342" w:rsidP="00AB03F1">
            <w:pPr>
              <w:rPr>
                <w:rFonts w:ascii="Arial" w:hAnsi="Arial" w:cs="Arial"/>
                <w:sz w:val="36"/>
                <w:szCs w:val="36"/>
                <w:lang w:eastAsia="en-GB"/>
              </w:rPr>
            </w:pPr>
            <w:r w:rsidRPr="00AC3B1A">
              <w:rPr>
                <w:lang w:eastAsia="en-GB"/>
              </w:rPr>
              <w:t>B</w:t>
            </w:r>
            <w:r w:rsidR="00AB03F1">
              <w:rPr>
                <w:lang w:eastAsia="en-GB"/>
              </w:rPr>
              <w:t>rand n</w:t>
            </w:r>
            <w:r w:rsidRPr="00AC3B1A">
              <w:rPr>
                <w:lang w:eastAsia="en-GB"/>
              </w:rPr>
              <w:t>ame</w:t>
            </w:r>
          </w:p>
        </w:tc>
        <w:tc>
          <w:tcPr>
            <w:tcW w:w="2541" w:type="dxa"/>
            <w:tcBorders>
              <w:bottom w:val="none" w:sz="0" w:space="0" w:color="auto"/>
            </w:tcBorders>
            <w:shd w:val="clear" w:color="auto" w:fill="63A56E"/>
            <w:vAlign w:val="center"/>
            <w:hideMark/>
          </w:tcPr>
          <w:p w14:paraId="525AFC93" w14:textId="0322048F" w:rsidR="00017342" w:rsidRPr="00AC3B1A" w:rsidRDefault="00017342" w:rsidP="00AB03F1">
            <w:pPr>
              <w:rPr>
                <w:rFonts w:ascii="Arial" w:hAnsi="Arial" w:cs="Arial"/>
                <w:sz w:val="36"/>
                <w:szCs w:val="36"/>
                <w:lang w:eastAsia="en-GB"/>
              </w:rPr>
            </w:pPr>
            <w:r w:rsidRPr="00914278">
              <w:rPr>
                <w:lang w:eastAsia="en-GB"/>
              </w:rPr>
              <w:t>Number of CQC registered</w:t>
            </w:r>
            <w:r w:rsidR="00AB03F1">
              <w:rPr>
                <w:lang w:eastAsia="en-GB"/>
              </w:rPr>
              <w:t xml:space="preserve"> l</w:t>
            </w:r>
            <w:r w:rsidRPr="00AC3B1A">
              <w:rPr>
                <w:lang w:eastAsia="en-GB"/>
              </w:rPr>
              <w:t>ocations</w:t>
            </w:r>
          </w:p>
        </w:tc>
        <w:tc>
          <w:tcPr>
            <w:tcW w:w="2411" w:type="dxa"/>
            <w:tcBorders>
              <w:bottom w:val="none" w:sz="0" w:space="0" w:color="auto"/>
            </w:tcBorders>
            <w:shd w:val="clear" w:color="auto" w:fill="63A56E"/>
            <w:vAlign w:val="center"/>
          </w:tcPr>
          <w:p w14:paraId="079878A2" w14:textId="3365F197" w:rsidR="00017342" w:rsidRPr="00914278" w:rsidRDefault="00AB03F1" w:rsidP="00AB03F1">
            <w:pPr>
              <w:rPr>
                <w:lang w:eastAsia="en-GB"/>
              </w:rPr>
            </w:pPr>
            <w:r>
              <w:rPr>
                <w:lang w:eastAsia="en-GB"/>
              </w:rPr>
              <w:t>% of al</w:t>
            </w:r>
            <w:r w:rsidR="00017342">
              <w:rPr>
                <w:lang w:eastAsia="en-GB"/>
              </w:rPr>
              <w:t xml:space="preserve">l </w:t>
            </w:r>
            <w:r>
              <w:rPr>
                <w:lang w:eastAsia="en-GB"/>
              </w:rPr>
              <w:t>l</w:t>
            </w:r>
            <w:r w:rsidR="00017342">
              <w:rPr>
                <w:lang w:eastAsia="en-GB"/>
              </w:rPr>
              <w:t>ocations</w:t>
            </w:r>
          </w:p>
        </w:tc>
      </w:tr>
      <w:tr w:rsidR="00017342" w:rsidRPr="00AC3B1A" w14:paraId="3ED4C313" w14:textId="77777777" w:rsidTr="00F45D72">
        <w:trPr>
          <w:trHeight w:val="463"/>
        </w:trPr>
        <w:tc>
          <w:tcPr>
            <w:tcW w:w="4064" w:type="dxa"/>
            <w:hideMark/>
          </w:tcPr>
          <w:p w14:paraId="0639F7F0" w14:textId="74F089BA" w:rsidR="00017342" w:rsidRPr="00AC3B1A" w:rsidRDefault="00017342" w:rsidP="000F0BEC">
            <w:pPr>
              <w:rPr>
                <w:rFonts w:ascii="Arial" w:hAnsi="Arial" w:cs="Arial"/>
                <w:sz w:val="36"/>
                <w:szCs w:val="36"/>
                <w:lang w:eastAsia="en-GB"/>
              </w:rPr>
            </w:pPr>
            <w:r w:rsidRPr="00AC3B1A">
              <w:rPr>
                <w:lang w:eastAsia="en-GB"/>
              </w:rPr>
              <w:t>Acadia</w:t>
            </w:r>
          </w:p>
        </w:tc>
        <w:tc>
          <w:tcPr>
            <w:tcW w:w="2541" w:type="dxa"/>
            <w:hideMark/>
          </w:tcPr>
          <w:p w14:paraId="78E96CB4" w14:textId="77777777" w:rsidR="00017342" w:rsidRPr="00AC3B1A" w:rsidRDefault="00017342" w:rsidP="000F0BEC">
            <w:pPr>
              <w:rPr>
                <w:rFonts w:ascii="Arial" w:hAnsi="Arial" w:cs="Arial"/>
                <w:sz w:val="36"/>
                <w:szCs w:val="36"/>
                <w:lang w:eastAsia="en-GB"/>
              </w:rPr>
            </w:pPr>
            <w:r w:rsidRPr="00AC3B1A">
              <w:rPr>
                <w:lang w:eastAsia="en-GB"/>
              </w:rPr>
              <w:t>46</w:t>
            </w:r>
          </w:p>
        </w:tc>
        <w:tc>
          <w:tcPr>
            <w:tcW w:w="2411" w:type="dxa"/>
          </w:tcPr>
          <w:p w14:paraId="2DFC3046"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28%</w:t>
            </w:r>
          </w:p>
        </w:tc>
      </w:tr>
      <w:tr w:rsidR="00017342" w:rsidRPr="00AC3B1A" w14:paraId="1828BB5F" w14:textId="77777777" w:rsidTr="00F45D72">
        <w:trPr>
          <w:trHeight w:val="463"/>
        </w:trPr>
        <w:tc>
          <w:tcPr>
            <w:tcW w:w="4064" w:type="dxa"/>
            <w:hideMark/>
          </w:tcPr>
          <w:p w14:paraId="034C7AFC" w14:textId="2F3AD43C" w:rsidR="00017342" w:rsidRPr="00AC3B1A" w:rsidRDefault="00017342" w:rsidP="000F0BEC">
            <w:pPr>
              <w:rPr>
                <w:rFonts w:ascii="Arial" w:hAnsi="Arial" w:cs="Arial"/>
                <w:sz w:val="36"/>
                <w:szCs w:val="36"/>
                <w:lang w:eastAsia="en-GB"/>
              </w:rPr>
            </w:pPr>
            <w:r w:rsidRPr="00AC3B1A">
              <w:rPr>
                <w:lang w:eastAsia="en-GB"/>
              </w:rPr>
              <w:t>Alternative Futures Group</w:t>
            </w:r>
          </w:p>
        </w:tc>
        <w:tc>
          <w:tcPr>
            <w:tcW w:w="2541" w:type="dxa"/>
            <w:hideMark/>
          </w:tcPr>
          <w:p w14:paraId="2816C92D" w14:textId="77777777" w:rsidR="00017342" w:rsidRPr="00AC3B1A" w:rsidRDefault="00017342" w:rsidP="000F0BEC">
            <w:pPr>
              <w:rPr>
                <w:rFonts w:ascii="Arial" w:hAnsi="Arial" w:cs="Arial"/>
                <w:sz w:val="36"/>
                <w:szCs w:val="36"/>
                <w:lang w:eastAsia="en-GB"/>
              </w:rPr>
            </w:pPr>
            <w:r w:rsidRPr="00AC3B1A">
              <w:rPr>
                <w:lang w:eastAsia="en-GB"/>
              </w:rPr>
              <w:t>6</w:t>
            </w:r>
          </w:p>
        </w:tc>
        <w:tc>
          <w:tcPr>
            <w:tcW w:w="2411" w:type="dxa"/>
          </w:tcPr>
          <w:p w14:paraId="0D307C99"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4%</w:t>
            </w:r>
          </w:p>
        </w:tc>
      </w:tr>
      <w:tr w:rsidR="00017342" w:rsidRPr="00AC3B1A" w14:paraId="3A8B506C" w14:textId="77777777" w:rsidTr="00F45D72">
        <w:trPr>
          <w:trHeight w:val="463"/>
        </w:trPr>
        <w:tc>
          <w:tcPr>
            <w:tcW w:w="4064" w:type="dxa"/>
            <w:hideMark/>
          </w:tcPr>
          <w:p w14:paraId="6DA8F16B" w14:textId="502F2C74" w:rsidR="00017342" w:rsidRPr="00AC3B1A" w:rsidRDefault="00017342" w:rsidP="000F0BEC">
            <w:pPr>
              <w:rPr>
                <w:rFonts w:ascii="Arial" w:hAnsi="Arial" w:cs="Arial"/>
                <w:sz w:val="36"/>
                <w:szCs w:val="36"/>
                <w:lang w:eastAsia="en-GB"/>
              </w:rPr>
            </w:pPr>
            <w:r w:rsidRPr="00AC3B1A">
              <w:rPr>
                <w:lang w:eastAsia="en-GB"/>
              </w:rPr>
              <w:t>Arcadia</w:t>
            </w:r>
          </w:p>
        </w:tc>
        <w:tc>
          <w:tcPr>
            <w:tcW w:w="2541" w:type="dxa"/>
            <w:hideMark/>
          </w:tcPr>
          <w:p w14:paraId="054281C6"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63792B9F"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1A2AB63F" w14:textId="77777777" w:rsidTr="00F45D72">
        <w:trPr>
          <w:trHeight w:val="463"/>
        </w:trPr>
        <w:tc>
          <w:tcPr>
            <w:tcW w:w="4064" w:type="dxa"/>
            <w:hideMark/>
          </w:tcPr>
          <w:p w14:paraId="0D991B06" w14:textId="60D9123F" w:rsidR="00017342" w:rsidRPr="00AC3B1A" w:rsidRDefault="00017342" w:rsidP="000F0BEC">
            <w:pPr>
              <w:rPr>
                <w:rFonts w:ascii="Arial" w:hAnsi="Arial" w:cs="Arial"/>
                <w:sz w:val="36"/>
                <w:szCs w:val="36"/>
                <w:lang w:eastAsia="en-GB"/>
              </w:rPr>
            </w:pPr>
            <w:r w:rsidRPr="00AC3B1A">
              <w:rPr>
                <w:lang w:eastAsia="en-GB"/>
              </w:rPr>
              <w:t>Barchester Healthcare</w:t>
            </w:r>
          </w:p>
        </w:tc>
        <w:tc>
          <w:tcPr>
            <w:tcW w:w="2541" w:type="dxa"/>
            <w:hideMark/>
          </w:tcPr>
          <w:p w14:paraId="45AE7C36" w14:textId="77777777" w:rsidR="00017342" w:rsidRPr="00AC3B1A" w:rsidRDefault="00017342" w:rsidP="000F0BEC">
            <w:pPr>
              <w:rPr>
                <w:rFonts w:ascii="Arial" w:hAnsi="Arial" w:cs="Arial"/>
                <w:sz w:val="36"/>
                <w:szCs w:val="36"/>
                <w:lang w:eastAsia="en-GB"/>
              </w:rPr>
            </w:pPr>
            <w:r w:rsidRPr="00AC3B1A">
              <w:rPr>
                <w:lang w:eastAsia="en-GB"/>
              </w:rPr>
              <w:t>2</w:t>
            </w:r>
          </w:p>
        </w:tc>
        <w:tc>
          <w:tcPr>
            <w:tcW w:w="2411" w:type="dxa"/>
          </w:tcPr>
          <w:p w14:paraId="51E004F3"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6A53A8F6" w14:textId="77777777" w:rsidTr="00F45D72">
        <w:trPr>
          <w:trHeight w:val="463"/>
        </w:trPr>
        <w:tc>
          <w:tcPr>
            <w:tcW w:w="4064" w:type="dxa"/>
            <w:hideMark/>
          </w:tcPr>
          <w:p w14:paraId="739E4BCD" w14:textId="19188AE2" w:rsidR="00017342" w:rsidRPr="00AC3B1A" w:rsidRDefault="00017342" w:rsidP="000F0BEC">
            <w:pPr>
              <w:rPr>
                <w:rFonts w:ascii="Arial" w:hAnsi="Arial" w:cs="Arial"/>
                <w:sz w:val="36"/>
                <w:szCs w:val="36"/>
                <w:lang w:eastAsia="en-GB"/>
              </w:rPr>
            </w:pPr>
            <w:r w:rsidRPr="00AC3B1A">
              <w:rPr>
                <w:lang w:eastAsia="en-GB"/>
              </w:rPr>
              <w:t>Bramley Health</w:t>
            </w:r>
          </w:p>
        </w:tc>
        <w:tc>
          <w:tcPr>
            <w:tcW w:w="2541" w:type="dxa"/>
            <w:hideMark/>
          </w:tcPr>
          <w:p w14:paraId="1ACEEB2A" w14:textId="77777777" w:rsidR="00017342" w:rsidRPr="00AC3B1A" w:rsidRDefault="00017342" w:rsidP="000F0BEC">
            <w:pPr>
              <w:rPr>
                <w:rFonts w:ascii="Arial" w:hAnsi="Arial" w:cs="Arial"/>
                <w:sz w:val="36"/>
                <w:szCs w:val="36"/>
                <w:lang w:eastAsia="en-GB"/>
              </w:rPr>
            </w:pPr>
            <w:r w:rsidRPr="00AC3B1A">
              <w:rPr>
                <w:lang w:eastAsia="en-GB"/>
              </w:rPr>
              <w:t>2</w:t>
            </w:r>
          </w:p>
        </w:tc>
        <w:tc>
          <w:tcPr>
            <w:tcW w:w="2411" w:type="dxa"/>
          </w:tcPr>
          <w:p w14:paraId="0F206F1F"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319D6E6C" w14:textId="77777777" w:rsidTr="00F45D72">
        <w:trPr>
          <w:trHeight w:val="463"/>
        </w:trPr>
        <w:tc>
          <w:tcPr>
            <w:tcW w:w="4064" w:type="dxa"/>
            <w:hideMark/>
          </w:tcPr>
          <w:p w14:paraId="2685E81E" w14:textId="71C97539" w:rsidR="00017342" w:rsidRPr="00AC3B1A" w:rsidRDefault="00017342" w:rsidP="000F0BEC">
            <w:pPr>
              <w:rPr>
                <w:rFonts w:ascii="Arial" w:hAnsi="Arial" w:cs="Arial"/>
                <w:sz w:val="36"/>
                <w:szCs w:val="36"/>
                <w:lang w:eastAsia="en-GB"/>
              </w:rPr>
            </w:pPr>
            <w:r w:rsidRPr="00AC3B1A">
              <w:rPr>
                <w:lang w:eastAsia="en-GB"/>
              </w:rPr>
              <w:t>Cambian Healthcare Limited</w:t>
            </w:r>
          </w:p>
        </w:tc>
        <w:tc>
          <w:tcPr>
            <w:tcW w:w="2541" w:type="dxa"/>
            <w:hideMark/>
          </w:tcPr>
          <w:p w14:paraId="7A269F50"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36BAA6CA"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7E7CBF02" w14:textId="77777777" w:rsidTr="00F45D72">
        <w:trPr>
          <w:trHeight w:val="463"/>
        </w:trPr>
        <w:tc>
          <w:tcPr>
            <w:tcW w:w="4064" w:type="dxa"/>
            <w:hideMark/>
          </w:tcPr>
          <w:p w14:paraId="7FA1F34E" w14:textId="3C355907" w:rsidR="00017342" w:rsidRPr="00AC3B1A" w:rsidRDefault="00017342" w:rsidP="000F0BEC">
            <w:pPr>
              <w:rPr>
                <w:rFonts w:ascii="Arial" w:hAnsi="Arial" w:cs="Arial"/>
                <w:sz w:val="36"/>
                <w:szCs w:val="36"/>
                <w:lang w:eastAsia="en-GB"/>
              </w:rPr>
            </w:pPr>
            <w:r w:rsidRPr="00AC3B1A">
              <w:rPr>
                <w:lang w:eastAsia="en-GB"/>
              </w:rPr>
              <w:t>Careline Lifestyles</w:t>
            </w:r>
          </w:p>
        </w:tc>
        <w:tc>
          <w:tcPr>
            <w:tcW w:w="2541" w:type="dxa"/>
            <w:hideMark/>
          </w:tcPr>
          <w:p w14:paraId="030001E2" w14:textId="77777777" w:rsidR="00017342" w:rsidRPr="00AC3B1A" w:rsidRDefault="00017342" w:rsidP="000F0BEC">
            <w:pPr>
              <w:rPr>
                <w:rFonts w:ascii="Arial" w:hAnsi="Arial" w:cs="Arial"/>
                <w:sz w:val="36"/>
                <w:szCs w:val="36"/>
                <w:lang w:eastAsia="en-GB"/>
              </w:rPr>
            </w:pPr>
            <w:r w:rsidRPr="00AC3B1A">
              <w:rPr>
                <w:lang w:eastAsia="en-GB"/>
              </w:rPr>
              <w:t>2</w:t>
            </w:r>
          </w:p>
        </w:tc>
        <w:tc>
          <w:tcPr>
            <w:tcW w:w="2411" w:type="dxa"/>
          </w:tcPr>
          <w:p w14:paraId="3254E909"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754B2EF9" w14:textId="77777777" w:rsidTr="00F45D72">
        <w:trPr>
          <w:trHeight w:val="463"/>
        </w:trPr>
        <w:tc>
          <w:tcPr>
            <w:tcW w:w="4064" w:type="dxa"/>
            <w:hideMark/>
          </w:tcPr>
          <w:p w14:paraId="12B89E2D" w14:textId="3C054102" w:rsidR="00017342" w:rsidRPr="00AC3B1A" w:rsidRDefault="00017342" w:rsidP="000F0BEC">
            <w:pPr>
              <w:rPr>
                <w:rFonts w:ascii="Arial" w:hAnsi="Arial" w:cs="Arial"/>
                <w:sz w:val="36"/>
                <w:szCs w:val="36"/>
                <w:lang w:eastAsia="en-GB"/>
              </w:rPr>
            </w:pPr>
            <w:r w:rsidRPr="00AC3B1A">
              <w:rPr>
                <w:lang w:eastAsia="en-GB"/>
              </w:rPr>
              <w:t>CareTech Community Services</w:t>
            </w:r>
          </w:p>
        </w:tc>
        <w:tc>
          <w:tcPr>
            <w:tcW w:w="2541" w:type="dxa"/>
            <w:hideMark/>
          </w:tcPr>
          <w:p w14:paraId="4F98CDEF"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34211C65"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6F077776" w14:textId="77777777" w:rsidTr="00F45D72">
        <w:trPr>
          <w:trHeight w:val="463"/>
        </w:trPr>
        <w:tc>
          <w:tcPr>
            <w:tcW w:w="4064" w:type="dxa"/>
            <w:hideMark/>
          </w:tcPr>
          <w:p w14:paraId="6055EFF4" w14:textId="658EAC9A" w:rsidR="00017342" w:rsidRPr="00AC3B1A" w:rsidRDefault="00017342" w:rsidP="000F0BEC">
            <w:pPr>
              <w:rPr>
                <w:rFonts w:ascii="Arial" w:hAnsi="Arial" w:cs="Arial"/>
                <w:sz w:val="36"/>
                <w:szCs w:val="36"/>
                <w:lang w:eastAsia="en-GB"/>
              </w:rPr>
            </w:pPr>
            <w:r w:rsidRPr="00AC3B1A">
              <w:rPr>
                <w:lang w:eastAsia="en-GB"/>
              </w:rPr>
              <w:t>Cygnet Health Care</w:t>
            </w:r>
          </w:p>
        </w:tc>
        <w:tc>
          <w:tcPr>
            <w:tcW w:w="2541" w:type="dxa"/>
            <w:hideMark/>
          </w:tcPr>
          <w:p w14:paraId="5BE35A40" w14:textId="77777777" w:rsidR="00017342" w:rsidRPr="00AC3B1A" w:rsidRDefault="00017342" w:rsidP="000F0BEC">
            <w:pPr>
              <w:rPr>
                <w:rFonts w:ascii="Arial" w:hAnsi="Arial" w:cs="Arial"/>
                <w:sz w:val="36"/>
                <w:szCs w:val="36"/>
                <w:lang w:eastAsia="en-GB"/>
              </w:rPr>
            </w:pPr>
            <w:r w:rsidRPr="00AC3B1A">
              <w:rPr>
                <w:lang w:eastAsia="en-GB"/>
              </w:rPr>
              <w:t>45</w:t>
            </w:r>
          </w:p>
        </w:tc>
        <w:tc>
          <w:tcPr>
            <w:tcW w:w="2411" w:type="dxa"/>
          </w:tcPr>
          <w:p w14:paraId="3C0A37B2"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27%</w:t>
            </w:r>
          </w:p>
        </w:tc>
      </w:tr>
      <w:tr w:rsidR="00017342" w:rsidRPr="00AC3B1A" w14:paraId="5AFF34B8" w14:textId="77777777" w:rsidTr="00F45D72">
        <w:trPr>
          <w:trHeight w:val="463"/>
        </w:trPr>
        <w:tc>
          <w:tcPr>
            <w:tcW w:w="4064" w:type="dxa"/>
            <w:hideMark/>
          </w:tcPr>
          <w:p w14:paraId="0C7ED4DE" w14:textId="60DFD919" w:rsidR="00017342" w:rsidRPr="00AC3B1A" w:rsidRDefault="00017342" w:rsidP="000F0BEC">
            <w:pPr>
              <w:rPr>
                <w:rFonts w:ascii="Arial" w:hAnsi="Arial" w:cs="Arial"/>
                <w:sz w:val="36"/>
                <w:szCs w:val="36"/>
                <w:lang w:eastAsia="en-GB"/>
              </w:rPr>
            </w:pPr>
            <w:r w:rsidRPr="00AC3B1A">
              <w:rPr>
                <w:lang w:eastAsia="en-GB"/>
              </w:rPr>
              <w:t>Danshell</w:t>
            </w:r>
          </w:p>
        </w:tc>
        <w:tc>
          <w:tcPr>
            <w:tcW w:w="2541" w:type="dxa"/>
            <w:hideMark/>
          </w:tcPr>
          <w:p w14:paraId="78B90ACF" w14:textId="77777777" w:rsidR="00017342" w:rsidRPr="00AC3B1A" w:rsidRDefault="00017342" w:rsidP="000F0BEC">
            <w:pPr>
              <w:rPr>
                <w:rFonts w:ascii="Arial" w:hAnsi="Arial" w:cs="Arial"/>
                <w:sz w:val="36"/>
                <w:szCs w:val="36"/>
                <w:lang w:eastAsia="en-GB"/>
              </w:rPr>
            </w:pPr>
            <w:r w:rsidRPr="00AC3B1A">
              <w:rPr>
                <w:lang w:eastAsia="en-GB"/>
              </w:rPr>
              <w:t>8</w:t>
            </w:r>
          </w:p>
        </w:tc>
        <w:tc>
          <w:tcPr>
            <w:tcW w:w="2411" w:type="dxa"/>
          </w:tcPr>
          <w:p w14:paraId="6DE08FF2"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5%</w:t>
            </w:r>
          </w:p>
        </w:tc>
      </w:tr>
      <w:tr w:rsidR="00017342" w:rsidRPr="00AC3B1A" w14:paraId="0BCEC497" w14:textId="77777777" w:rsidTr="00F45D72">
        <w:trPr>
          <w:trHeight w:val="463"/>
        </w:trPr>
        <w:tc>
          <w:tcPr>
            <w:tcW w:w="4064" w:type="dxa"/>
            <w:hideMark/>
          </w:tcPr>
          <w:p w14:paraId="0B964FCA" w14:textId="1E6C67B9" w:rsidR="00017342" w:rsidRPr="00AC3B1A" w:rsidRDefault="00017342" w:rsidP="000F0BEC">
            <w:pPr>
              <w:rPr>
                <w:rFonts w:ascii="Arial" w:hAnsi="Arial" w:cs="Arial"/>
                <w:sz w:val="36"/>
                <w:szCs w:val="36"/>
                <w:lang w:eastAsia="en-GB"/>
              </w:rPr>
            </w:pPr>
            <w:r w:rsidRPr="00AC3B1A">
              <w:rPr>
                <w:lang w:eastAsia="en-GB"/>
              </w:rPr>
              <w:t>Disabilities Trust</w:t>
            </w:r>
          </w:p>
        </w:tc>
        <w:tc>
          <w:tcPr>
            <w:tcW w:w="2541" w:type="dxa"/>
            <w:hideMark/>
          </w:tcPr>
          <w:p w14:paraId="207F9CCD"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5AAF2296"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09EEB1B0" w14:textId="77777777" w:rsidTr="00F45D72">
        <w:trPr>
          <w:trHeight w:val="463"/>
        </w:trPr>
        <w:tc>
          <w:tcPr>
            <w:tcW w:w="4064" w:type="dxa"/>
            <w:hideMark/>
          </w:tcPr>
          <w:p w14:paraId="16587E25" w14:textId="72A8D20C" w:rsidR="00017342" w:rsidRPr="00AC3B1A" w:rsidRDefault="00017342" w:rsidP="000F0BEC">
            <w:pPr>
              <w:rPr>
                <w:rFonts w:ascii="Arial" w:hAnsi="Arial" w:cs="Arial"/>
                <w:sz w:val="36"/>
                <w:szCs w:val="36"/>
                <w:lang w:eastAsia="en-GB"/>
              </w:rPr>
            </w:pPr>
            <w:r w:rsidRPr="00AC3B1A">
              <w:rPr>
                <w:lang w:eastAsia="en-GB"/>
              </w:rPr>
              <w:t>Elysium Healthcare</w:t>
            </w:r>
          </w:p>
        </w:tc>
        <w:tc>
          <w:tcPr>
            <w:tcW w:w="2541" w:type="dxa"/>
            <w:hideMark/>
          </w:tcPr>
          <w:p w14:paraId="5BEC0823" w14:textId="77777777" w:rsidR="00017342" w:rsidRPr="00AC3B1A" w:rsidRDefault="00017342" w:rsidP="000F0BEC">
            <w:pPr>
              <w:rPr>
                <w:rFonts w:ascii="Arial" w:hAnsi="Arial" w:cs="Arial"/>
                <w:sz w:val="36"/>
                <w:szCs w:val="36"/>
                <w:lang w:eastAsia="en-GB"/>
              </w:rPr>
            </w:pPr>
            <w:r w:rsidRPr="00AC3B1A">
              <w:rPr>
                <w:lang w:eastAsia="en-GB"/>
              </w:rPr>
              <w:t>26</w:t>
            </w:r>
          </w:p>
        </w:tc>
        <w:tc>
          <w:tcPr>
            <w:tcW w:w="2411" w:type="dxa"/>
          </w:tcPr>
          <w:p w14:paraId="0901177C"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16%</w:t>
            </w:r>
          </w:p>
        </w:tc>
      </w:tr>
      <w:tr w:rsidR="00017342" w:rsidRPr="00AC3B1A" w14:paraId="6871B9D6" w14:textId="77777777" w:rsidTr="00F45D72">
        <w:trPr>
          <w:trHeight w:val="463"/>
        </w:trPr>
        <w:tc>
          <w:tcPr>
            <w:tcW w:w="4064" w:type="dxa"/>
            <w:hideMark/>
          </w:tcPr>
          <w:p w14:paraId="252364E9" w14:textId="107CDA30" w:rsidR="00017342" w:rsidRPr="00AC3B1A" w:rsidRDefault="00017342" w:rsidP="000F0BEC">
            <w:pPr>
              <w:rPr>
                <w:rFonts w:ascii="Arial" w:hAnsi="Arial" w:cs="Arial"/>
                <w:sz w:val="36"/>
                <w:szCs w:val="36"/>
                <w:lang w:eastAsia="en-GB"/>
              </w:rPr>
            </w:pPr>
            <w:r w:rsidRPr="00AC3B1A">
              <w:rPr>
                <w:lang w:eastAsia="en-GB"/>
              </w:rPr>
              <w:t>Equilibrium Healthcare Group</w:t>
            </w:r>
          </w:p>
        </w:tc>
        <w:tc>
          <w:tcPr>
            <w:tcW w:w="2541" w:type="dxa"/>
            <w:hideMark/>
          </w:tcPr>
          <w:p w14:paraId="59E30C6B"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7660538A"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174A133B" w14:textId="77777777" w:rsidTr="00F45D72">
        <w:trPr>
          <w:trHeight w:val="463"/>
        </w:trPr>
        <w:tc>
          <w:tcPr>
            <w:tcW w:w="4064" w:type="dxa"/>
            <w:hideMark/>
          </w:tcPr>
          <w:p w14:paraId="6DF32560" w14:textId="1F9A433D" w:rsidR="00017342" w:rsidRPr="00AC3B1A" w:rsidRDefault="00017342" w:rsidP="000F0BEC">
            <w:pPr>
              <w:rPr>
                <w:rFonts w:ascii="Arial" w:hAnsi="Arial" w:cs="Arial"/>
                <w:sz w:val="36"/>
                <w:szCs w:val="36"/>
                <w:lang w:eastAsia="en-GB"/>
              </w:rPr>
            </w:pPr>
            <w:r w:rsidRPr="00AC3B1A">
              <w:rPr>
                <w:lang w:eastAsia="en-GB"/>
              </w:rPr>
              <w:t>Four Seasons</w:t>
            </w:r>
          </w:p>
        </w:tc>
        <w:tc>
          <w:tcPr>
            <w:tcW w:w="2541" w:type="dxa"/>
            <w:hideMark/>
          </w:tcPr>
          <w:p w14:paraId="23EDBD87" w14:textId="77777777" w:rsidR="00017342" w:rsidRPr="00AC3B1A" w:rsidRDefault="00017342" w:rsidP="000F0BEC">
            <w:pPr>
              <w:rPr>
                <w:rFonts w:ascii="Arial" w:hAnsi="Arial" w:cs="Arial"/>
                <w:sz w:val="36"/>
                <w:szCs w:val="36"/>
                <w:lang w:eastAsia="en-GB"/>
              </w:rPr>
            </w:pPr>
            <w:r w:rsidRPr="00AC3B1A">
              <w:rPr>
                <w:lang w:eastAsia="en-GB"/>
              </w:rPr>
              <w:t>8</w:t>
            </w:r>
          </w:p>
        </w:tc>
        <w:tc>
          <w:tcPr>
            <w:tcW w:w="2411" w:type="dxa"/>
          </w:tcPr>
          <w:p w14:paraId="728C9C03"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5%</w:t>
            </w:r>
          </w:p>
        </w:tc>
      </w:tr>
      <w:tr w:rsidR="00017342" w:rsidRPr="00AC3B1A" w14:paraId="68C035EC" w14:textId="77777777" w:rsidTr="00F45D72">
        <w:trPr>
          <w:trHeight w:val="463"/>
        </w:trPr>
        <w:tc>
          <w:tcPr>
            <w:tcW w:w="4064" w:type="dxa"/>
            <w:hideMark/>
          </w:tcPr>
          <w:p w14:paraId="0FD086E4" w14:textId="4AEEA13F" w:rsidR="00017342" w:rsidRPr="00AC3B1A" w:rsidRDefault="00017342" w:rsidP="000F0BEC">
            <w:pPr>
              <w:rPr>
                <w:rFonts w:ascii="Arial" w:hAnsi="Arial" w:cs="Arial"/>
                <w:sz w:val="36"/>
                <w:szCs w:val="36"/>
                <w:lang w:eastAsia="en-GB"/>
              </w:rPr>
            </w:pPr>
            <w:r w:rsidRPr="00AC3B1A">
              <w:rPr>
                <w:lang w:eastAsia="en-GB"/>
              </w:rPr>
              <w:t>Inmind Healthcare Group</w:t>
            </w:r>
          </w:p>
        </w:tc>
        <w:tc>
          <w:tcPr>
            <w:tcW w:w="2541" w:type="dxa"/>
            <w:hideMark/>
          </w:tcPr>
          <w:p w14:paraId="4DD3A51B" w14:textId="77777777" w:rsidR="00017342" w:rsidRPr="00AC3B1A" w:rsidRDefault="00017342" w:rsidP="000F0BEC">
            <w:pPr>
              <w:rPr>
                <w:rFonts w:ascii="Arial" w:hAnsi="Arial" w:cs="Arial"/>
                <w:sz w:val="36"/>
                <w:szCs w:val="36"/>
                <w:lang w:eastAsia="en-GB"/>
              </w:rPr>
            </w:pPr>
            <w:r w:rsidRPr="00AC3B1A">
              <w:rPr>
                <w:lang w:eastAsia="en-GB"/>
              </w:rPr>
              <w:t>4</w:t>
            </w:r>
          </w:p>
        </w:tc>
        <w:tc>
          <w:tcPr>
            <w:tcW w:w="2411" w:type="dxa"/>
          </w:tcPr>
          <w:p w14:paraId="4B71D333"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2%</w:t>
            </w:r>
          </w:p>
        </w:tc>
      </w:tr>
      <w:tr w:rsidR="00017342" w:rsidRPr="00AC3B1A" w14:paraId="57D58EFD" w14:textId="77777777" w:rsidTr="00F45D72">
        <w:trPr>
          <w:trHeight w:val="463"/>
        </w:trPr>
        <w:tc>
          <w:tcPr>
            <w:tcW w:w="4064" w:type="dxa"/>
            <w:hideMark/>
          </w:tcPr>
          <w:p w14:paraId="30E19C3E" w14:textId="1707EC5D" w:rsidR="00017342" w:rsidRPr="00AC3B1A" w:rsidRDefault="00017342" w:rsidP="000F0BEC">
            <w:pPr>
              <w:rPr>
                <w:rFonts w:ascii="Arial" w:hAnsi="Arial" w:cs="Arial"/>
                <w:sz w:val="36"/>
                <w:szCs w:val="36"/>
                <w:lang w:eastAsia="en-GB"/>
              </w:rPr>
            </w:pPr>
            <w:r w:rsidRPr="00AC3B1A">
              <w:rPr>
                <w:lang w:eastAsia="en-GB"/>
              </w:rPr>
              <w:t>Jeesal Group</w:t>
            </w:r>
          </w:p>
        </w:tc>
        <w:tc>
          <w:tcPr>
            <w:tcW w:w="2541" w:type="dxa"/>
            <w:hideMark/>
          </w:tcPr>
          <w:p w14:paraId="5A33B384"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0C7AA340"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5649F5DC" w14:textId="77777777" w:rsidTr="00F45D72">
        <w:trPr>
          <w:trHeight w:val="463"/>
        </w:trPr>
        <w:tc>
          <w:tcPr>
            <w:tcW w:w="4064" w:type="dxa"/>
            <w:hideMark/>
          </w:tcPr>
          <w:p w14:paraId="36DB575A" w14:textId="7213509F" w:rsidR="00017342" w:rsidRPr="00AC3B1A" w:rsidRDefault="00017342" w:rsidP="000F0BEC">
            <w:pPr>
              <w:rPr>
                <w:rFonts w:ascii="Arial" w:hAnsi="Arial" w:cs="Arial"/>
                <w:sz w:val="36"/>
                <w:szCs w:val="36"/>
                <w:lang w:eastAsia="en-GB"/>
              </w:rPr>
            </w:pPr>
            <w:r w:rsidRPr="00AC3B1A">
              <w:rPr>
                <w:lang w:eastAsia="en-GB"/>
              </w:rPr>
              <w:t>Making Space</w:t>
            </w:r>
          </w:p>
        </w:tc>
        <w:tc>
          <w:tcPr>
            <w:tcW w:w="2541" w:type="dxa"/>
            <w:hideMark/>
          </w:tcPr>
          <w:p w14:paraId="17B2F090" w14:textId="77777777" w:rsidR="00017342" w:rsidRPr="00AC3B1A" w:rsidRDefault="00017342" w:rsidP="000F0BEC">
            <w:pPr>
              <w:rPr>
                <w:rFonts w:ascii="Arial" w:hAnsi="Arial" w:cs="Arial"/>
                <w:sz w:val="36"/>
                <w:szCs w:val="36"/>
                <w:lang w:eastAsia="en-GB"/>
              </w:rPr>
            </w:pPr>
            <w:r w:rsidRPr="00AC3B1A">
              <w:rPr>
                <w:lang w:eastAsia="en-GB"/>
              </w:rPr>
              <w:t>1</w:t>
            </w:r>
          </w:p>
        </w:tc>
        <w:tc>
          <w:tcPr>
            <w:tcW w:w="2411" w:type="dxa"/>
          </w:tcPr>
          <w:p w14:paraId="46C3881F"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1%</w:t>
            </w:r>
          </w:p>
        </w:tc>
      </w:tr>
      <w:tr w:rsidR="00017342" w:rsidRPr="00AC3B1A" w14:paraId="48B0EC6F" w14:textId="77777777" w:rsidTr="00F45D72">
        <w:trPr>
          <w:trHeight w:val="463"/>
        </w:trPr>
        <w:tc>
          <w:tcPr>
            <w:tcW w:w="4064" w:type="dxa"/>
            <w:hideMark/>
          </w:tcPr>
          <w:p w14:paraId="6E69E8A3" w14:textId="0FE5391C" w:rsidR="00017342" w:rsidRPr="00AC3B1A" w:rsidRDefault="00017342" w:rsidP="000F0BEC">
            <w:pPr>
              <w:rPr>
                <w:rFonts w:ascii="Arial" w:hAnsi="Arial" w:cs="Arial"/>
                <w:sz w:val="36"/>
                <w:szCs w:val="36"/>
                <w:lang w:eastAsia="en-GB"/>
              </w:rPr>
            </w:pPr>
            <w:r w:rsidRPr="00AC3B1A">
              <w:rPr>
                <w:lang w:eastAsia="en-GB"/>
              </w:rPr>
              <w:t>St Andrew's Healthcare</w:t>
            </w:r>
          </w:p>
        </w:tc>
        <w:tc>
          <w:tcPr>
            <w:tcW w:w="2541" w:type="dxa"/>
            <w:hideMark/>
          </w:tcPr>
          <w:p w14:paraId="700EAEBF" w14:textId="77777777" w:rsidR="00017342" w:rsidRPr="00AC3B1A" w:rsidRDefault="00017342" w:rsidP="000F0BEC">
            <w:pPr>
              <w:rPr>
                <w:rFonts w:ascii="Arial" w:hAnsi="Arial" w:cs="Arial"/>
                <w:sz w:val="36"/>
                <w:szCs w:val="36"/>
                <w:lang w:eastAsia="en-GB"/>
              </w:rPr>
            </w:pPr>
            <w:r w:rsidRPr="00AC3B1A">
              <w:rPr>
                <w:lang w:eastAsia="en-GB"/>
              </w:rPr>
              <w:t>4</w:t>
            </w:r>
          </w:p>
        </w:tc>
        <w:tc>
          <w:tcPr>
            <w:tcW w:w="2411" w:type="dxa"/>
          </w:tcPr>
          <w:p w14:paraId="7E52C733"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2%</w:t>
            </w:r>
          </w:p>
        </w:tc>
      </w:tr>
      <w:tr w:rsidR="00017342" w:rsidRPr="00AC3B1A" w14:paraId="65C38F55" w14:textId="77777777" w:rsidTr="00F45D72">
        <w:trPr>
          <w:trHeight w:val="463"/>
        </w:trPr>
        <w:tc>
          <w:tcPr>
            <w:tcW w:w="4064" w:type="dxa"/>
            <w:hideMark/>
          </w:tcPr>
          <w:p w14:paraId="466B305F" w14:textId="13341C27" w:rsidR="00017342" w:rsidRPr="00AC3B1A" w:rsidRDefault="00017342" w:rsidP="000F0BEC">
            <w:pPr>
              <w:rPr>
                <w:rFonts w:ascii="Arial" w:hAnsi="Arial" w:cs="Arial"/>
                <w:sz w:val="36"/>
                <w:szCs w:val="36"/>
                <w:lang w:eastAsia="en-GB"/>
              </w:rPr>
            </w:pPr>
            <w:r w:rsidRPr="00AC3B1A">
              <w:rPr>
                <w:lang w:eastAsia="en-GB"/>
              </w:rPr>
              <w:t>Turning Point</w:t>
            </w:r>
          </w:p>
        </w:tc>
        <w:tc>
          <w:tcPr>
            <w:tcW w:w="2541" w:type="dxa"/>
            <w:hideMark/>
          </w:tcPr>
          <w:p w14:paraId="192B8262" w14:textId="77777777" w:rsidR="00017342" w:rsidRPr="00AC3B1A" w:rsidRDefault="00017342" w:rsidP="000F0BEC">
            <w:pPr>
              <w:rPr>
                <w:rFonts w:ascii="Arial" w:hAnsi="Arial" w:cs="Arial"/>
                <w:sz w:val="36"/>
                <w:szCs w:val="36"/>
                <w:lang w:eastAsia="en-GB"/>
              </w:rPr>
            </w:pPr>
            <w:r w:rsidRPr="00AC3B1A">
              <w:rPr>
                <w:lang w:eastAsia="en-GB"/>
              </w:rPr>
              <w:t>4</w:t>
            </w:r>
          </w:p>
        </w:tc>
        <w:tc>
          <w:tcPr>
            <w:tcW w:w="2411" w:type="dxa"/>
          </w:tcPr>
          <w:p w14:paraId="3535A339" w14:textId="77777777" w:rsidR="00017342" w:rsidRPr="00AC3B1A" w:rsidRDefault="00017342" w:rsidP="000F0BEC">
            <w:pPr>
              <w:rPr>
                <w:rFonts w:ascii="Calibri" w:eastAsia="Times New Roman" w:hAnsi="Calibri" w:cs="Calibri"/>
                <w:color w:val="000000" w:themeColor="dark1"/>
                <w:kern w:val="24"/>
                <w:szCs w:val="28"/>
                <w:lang w:eastAsia="en-GB"/>
              </w:rPr>
            </w:pPr>
            <w:r w:rsidRPr="00720D00">
              <w:t>2%</w:t>
            </w:r>
          </w:p>
        </w:tc>
      </w:tr>
      <w:tr w:rsidR="00017342" w:rsidRPr="005D6083" w14:paraId="07B27EDA" w14:textId="77777777" w:rsidTr="00F45D72">
        <w:trPr>
          <w:trHeight w:val="463"/>
        </w:trPr>
        <w:tc>
          <w:tcPr>
            <w:tcW w:w="4064" w:type="dxa"/>
            <w:hideMark/>
          </w:tcPr>
          <w:p w14:paraId="1A5E909D" w14:textId="77777777" w:rsidR="00017342" w:rsidRPr="005D6083" w:rsidRDefault="00017342" w:rsidP="00AB03F1">
            <w:pPr>
              <w:jc w:val="right"/>
              <w:rPr>
                <w:rFonts w:ascii="Arial" w:hAnsi="Arial" w:cs="Arial"/>
                <w:b/>
                <w:sz w:val="36"/>
                <w:szCs w:val="36"/>
                <w:lang w:eastAsia="en-GB"/>
              </w:rPr>
            </w:pPr>
            <w:r w:rsidRPr="005D6083">
              <w:rPr>
                <w:b/>
                <w:lang w:eastAsia="en-GB"/>
              </w:rPr>
              <w:t>Total</w:t>
            </w:r>
          </w:p>
        </w:tc>
        <w:tc>
          <w:tcPr>
            <w:tcW w:w="2541" w:type="dxa"/>
            <w:hideMark/>
          </w:tcPr>
          <w:p w14:paraId="38DE9D9E" w14:textId="77777777" w:rsidR="00017342" w:rsidRPr="005D6083" w:rsidRDefault="00017342" w:rsidP="00AB03F1">
            <w:pPr>
              <w:jc w:val="right"/>
              <w:rPr>
                <w:rFonts w:ascii="Arial" w:hAnsi="Arial" w:cs="Arial"/>
                <w:b/>
                <w:sz w:val="36"/>
                <w:szCs w:val="36"/>
                <w:lang w:eastAsia="en-GB"/>
              </w:rPr>
            </w:pPr>
            <w:r w:rsidRPr="005D6083">
              <w:rPr>
                <w:b/>
                <w:lang w:eastAsia="en-GB"/>
              </w:rPr>
              <w:t>164</w:t>
            </w:r>
          </w:p>
        </w:tc>
        <w:tc>
          <w:tcPr>
            <w:tcW w:w="2411" w:type="dxa"/>
          </w:tcPr>
          <w:p w14:paraId="4F519448" w14:textId="43813743" w:rsidR="00017342" w:rsidRPr="005D6083" w:rsidRDefault="00017342" w:rsidP="00AB03F1">
            <w:pPr>
              <w:rPr>
                <w:b/>
                <w:lang w:eastAsia="en-GB"/>
              </w:rPr>
            </w:pPr>
          </w:p>
        </w:tc>
      </w:tr>
    </w:tbl>
    <w:p w14:paraId="65B92BDD" w14:textId="77777777" w:rsidR="00017342" w:rsidRDefault="00017342" w:rsidP="000F0BEC">
      <w:pPr>
        <w:rPr>
          <w:lang w:eastAsia="en-GB"/>
        </w:rPr>
      </w:pPr>
    </w:p>
    <w:p w14:paraId="27E2EC26" w14:textId="39D66696" w:rsidR="00815CDE" w:rsidRDefault="00434998" w:rsidP="000F0BEC">
      <w:pPr>
        <w:rPr>
          <w:lang w:eastAsia="en-GB"/>
        </w:rPr>
      </w:pPr>
      <w:r>
        <w:rPr>
          <w:lang w:eastAsia="en-GB"/>
        </w:rPr>
        <w:t xml:space="preserve">The Mental Health Services Data Set does not include comprehensive information about </w:t>
      </w:r>
      <w:r w:rsidR="00482ABC">
        <w:rPr>
          <w:lang w:eastAsia="en-GB"/>
        </w:rPr>
        <w:t xml:space="preserve">people with learning disabilities </w:t>
      </w:r>
      <w:r>
        <w:rPr>
          <w:lang w:eastAsia="en-GB"/>
        </w:rPr>
        <w:t>and autistic people who are resident in these independent hospitals as most of the providers do not yet report into NHS Digital.  We found that as of the end of November 2018, there were 71 providers who submitted information of which only 14 were independent providers.</w:t>
      </w:r>
    </w:p>
    <w:p w14:paraId="25B390DA" w14:textId="440B6663" w:rsidR="003831E6" w:rsidRDefault="00DB2656" w:rsidP="000F0BEC">
      <w:pPr>
        <w:rPr>
          <w:lang w:eastAsia="en-GB"/>
        </w:rPr>
      </w:pPr>
      <w:r>
        <w:rPr>
          <w:lang w:eastAsia="en-GB"/>
        </w:rPr>
        <w:t xml:space="preserve">As of March 2019, there were 3,659 NHS </w:t>
      </w:r>
      <w:r w:rsidR="00A71215">
        <w:rPr>
          <w:lang w:eastAsia="en-GB"/>
        </w:rPr>
        <w:t xml:space="preserve">Trust </w:t>
      </w:r>
      <w:r>
        <w:rPr>
          <w:lang w:eastAsia="en-GB"/>
        </w:rPr>
        <w:t xml:space="preserve">specialist beds and independent sector beds registered with </w:t>
      </w:r>
      <w:r w:rsidR="00A71215">
        <w:rPr>
          <w:lang w:eastAsia="en-GB"/>
        </w:rPr>
        <w:t xml:space="preserve">the </w:t>
      </w:r>
      <w:r>
        <w:rPr>
          <w:lang w:eastAsia="en-GB"/>
        </w:rPr>
        <w:t xml:space="preserve">CQC to provide assessment, care and treatment for </w:t>
      </w:r>
      <w:r w:rsidR="00482ABC">
        <w:rPr>
          <w:lang w:eastAsia="en-GB"/>
        </w:rPr>
        <w:t xml:space="preserve">adults with learning disabilities </w:t>
      </w:r>
      <w:r w:rsidR="00DB09F5">
        <w:rPr>
          <w:lang w:eastAsia="en-GB"/>
        </w:rPr>
        <w:t>at a rate of 68.7 per million adult population</w:t>
      </w:r>
      <w:r>
        <w:rPr>
          <w:lang w:eastAsia="en-GB"/>
        </w:rPr>
        <w:t xml:space="preserve">.  </w:t>
      </w:r>
      <w:r w:rsidR="006B1B85">
        <w:rPr>
          <w:lang w:eastAsia="en-GB"/>
        </w:rPr>
        <w:t xml:space="preserve">In addition, there were a </w:t>
      </w:r>
      <w:r>
        <w:rPr>
          <w:lang w:eastAsia="en-GB"/>
        </w:rPr>
        <w:t xml:space="preserve">further 3,344 independent sector beds where a </w:t>
      </w:r>
      <w:r w:rsidR="00A71215">
        <w:rPr>
          <w:lang w:eastAsia="en-GB"/>
        </w:rPr>
        <w:t>person with learning disabilities</w:t>
      </w:r>
      <w:r>
        <w:rPr>
          <w:lang w:eastAsia="en-GB"/>
        </w:rPr>
        <w:t xml:space="preserve"> and/or autistic person subject to section of the Mental Health Act 1983 could </w:t>
      </w:r>
      <w:r w:rsidR="00A71215">
        <w:rPr>
          <w:lang w:eastAsia="en-GB"/>
        </w:rPr>
        <w:t xml:space="preserve">potentially </w:t>
      </w:r>
      <w:r>
        <w:rPr>
          <w:lang w:eastAsia="en-GB"/>
        </w:rPr>
        <w:t xml:space="preserve">be detained for the purposes of care and treatment.  </w:t>
      </w:r>
      <w:r w:rsidR="00A71215">
        <w:rPr>
          <w:lang w:eastAsia="en-GB"/>
        </w:rPr>
        <w:t>This is a</w:t>
      </w:r>
      <w:r>
        <w:rPr>
          <w:lang w:eastAsia="en-GB"/>
        </w:rPr>
        <w:t xml:space="preserve"> combined total potential position of 7,003 be</w:t>
      </w:r>
      <w:r w:rsidR="00311566">
        <w:rPr>
          <w:lang w:eastAsia="en-GB"/>
        </w:rPr>
        <w:t>ds, a rate of 131.5 beds per million adult population</w:t>
      </w:r>
      <w:r w:rsidR="00311566">
        <w:rPr>
          <w:rStyle w:val="FootnoteReference"/>
          <w:lang w:eastAsia="en-GB"/>
        </w:rPr>
        <w:footnoteReference w:id="27"/>
      </w:r>
      <w:r w:rsidR="00311566">
        <w:rPr>
          <w:lang w:eastAsia="en-GB"/>
        </w:rPr>
        <w:t>.</w:t>
      </w:r>
      <w:r w:rsidR="00AE347B">
        <w:rPr>
          <w:lang w:eastAsia="en-GB"/>
        </w:rPr>
        <w:t xml:space="preserve">  </w:t>
      </w:r>
    </w:p>
    <w:p w14:paraId="35C741EA" w14:textId="2B18F14E" w:rsidR="002C7E06" w:rsidRDefault="003831E6" w:rsidP="000F0BEC">
      <w:pPr>
        <w:rPr>
          <w:i/>
          <w:iCs/>
          <w:color w:val="1F497D" w:themeColor="text2"/>
          <w:sz w:val="22"/>
        </w:rPr>
      </w:pPr>
      <w:r>
        <w:rPr>
          <w:lang w:eastAsia="en-GB"/>
        </w:rPr>
        <w:t xml:space="preserve">Given the size of the independent sector bed base, it is insufficient to measure whether or not the size and shape of inpatient patient provision has transformed based solely on the number of NHS </w:t>
      </w:r>
      <w:r w:rsidR="00A71215">
        <w:rPr>
          <w:lang w:eastAsia="en-GB"/>
        </w:rPr>
        <w:t xml:space="preserve">Trust </w:t>
      </w:r>
      <w:r>
        <w:rPr>
          <w:lang w:eastAsia="en-GB"/>
        </w:rPr>
        <w:t xml:space="preserve">specialist learning disabilities beds available.  </w:t>
      </w:r>
      <w:r w:rsidR="002C7E06">
        <w:rPr>
          <w:lang w:eastAsia="en-GB"/>
        </w:rPr>
        <w:t>A data development</w:t>
      </w:r>
      <w:r w:rsidR="0099322D">
        <w:rPr>
          <w:lang w:eastAsia="en-GB"/>
        </w:rPr>
        <w:t xml:space="preserve"> and research</w:t>
      </w:r>
      <w:r w:rsidR="002C7E06">
        <w:rPr>
          <w:lang w:eastAsia="en-GB"/>
        </w:rPr>
        <w:t xml:space="preserve"> agenda</w:t>
      </w:r>
      <w:r w:rsidR="0099322D">
        <w:rPr>
          <w:lang w:eastAsia="en-GB"/>
        </w:rPr>
        <w:t>,</w:t>
      </w:r>
      <w:r w:rsidR="002C7E06">
        <w:rPr>
          <w:lang w:eastAsia="en-GB"/>
        </w:rPr>
        <w:t xml:space="preserve"> which seeks to further improve </w:t>
      </w:r>
      <w:r w:rsidR="00AE347B">
        <w:rPr>
          <w:lang w:eastAsia="en-GB"/>
        </w:rPr>
        <w:t xml:space="preserve">understanding of the likelihood of a </w:t>
      </w:r>
      <w:r w:rsidR="00482ABC">
        <w:rPr>
          <w:lang w:eastAsia="en-GB"/>
        </w:rPr>
        <w:t xml:space="preserve">person with learning disabilities </w:t>
      </w:r>
      <w:r w:rsidR="00AE347B">
        <w:rPr>
          <w:lang w:eastAsia="en-GB"/>
        </w:rPr>
        <w:t xml:space="preserve">and/or autistic person to be admitted into a </w:t>
      </w:r>
      <w:r w:rsidR="002C7E06">
        <w:rPr>
          <w:lang w:eastAsia="en-GB"/>
        </w:rPr>
        <w:t>location registered with the CQC for the purposes of assessment, care and treatment of adu</w:t>
      </w:r>
      <w:r w:rsidR="008B2750">
        <w:rPr>
          <w:lang w:eastAsia="en-GB"/>
        </w:rPr>
        <w:t>lts sectioned under the Mental H</w:t>
      </w:r>
      <w:r w:rsidR="002C7E06">
        <w:rPr>
          <w:lang w:eastAsia="en-GB"/>
        </w:rPr>
        <w:t>ealth Act</w:t>
      </w:r>
      <w:r w:rsidR="0099322D">
        <w:rPr>
          <w:lang w:eastAsia="en-GB"/>
        </w:rPr>
        <w:t>, is required</w:t>
      </w:r>
      <w:r w:rsidR="002C7E06">
        <w:rPr>
          <w:lang w:eastAsia="en-GB"/>
        </w:rPr>
        <w:t xml:space="preserve"> to enable increased confidence that there a is a recognised, transparent baseline from which to assess the inpatient capacity in England </w:t>
      </w:r>
      <w:r w:rsidR="0099322D">
        <w:rPr>
          <w:lang w:eastAsia="en-GB"/>
        </w:rPr>
        <w:t>and ensure accountability of delivery by 2023/24 of commitments made in the</w:t>
      </w:r>
      <w:r w:rsidR="002C7E06">
        <w:rPr>
          <w:lang w:eastAsia="en-GB"/>
        </w:rPr>
        <w:t xml:space="preserve"> </w:t>
      </w:r>
      <w:r w:rsidR="0099322D">
        <w:rPr>
          <w:lang w:eastAsia="en-GB"/>
        </w:rPr>
        <w:t xml:space="preserve">NHS </w:t>
      </w:r>
      <w:r w:rsidR="002C7E06">
        <w:rPr>
          <w:lang w:eastAsia="en-GB"/>
        </w:rPr>
        <w:t>Long Term Plan.</w:t>
      </w:r>
    </w:p>
    <w:p w14:paraId="5910EEF1" w14:textId="474A064A" w:rsidR="00C013FE" w:rsidRDefault="00C013FE" w:rsidP="00D80F6B">
      <w:pPr>
        <w:pStyle w:val="Heading2"/>
      </w:pPr>
      <w:bookmarkStart w:id="32" w:name="_Toc12477552"/>
      <w:r>
        <w:t>Has the length of time people stay in inpatient units reduced?</w:t>
      </w:r>
      <w:bookmarkEnd w:id="32"/>
    </w:p>
    <w:p w14:paraId="1F62F1D0" w14:textId="173BF9AD" w:rsidR="00C013FE" w:rsidRDefault="00913C2F" w:rsidP="000F0BEC">
      <w:pPr>
        <w:rPr>
          <w:lang w:eastAsia="en-GB"/>
        </w:rPr>
      </w:pPr>
      <w:r>
        <w:rPr>
          <w:lang w:eastAsia="en-GB"/>
        </w:rPr>
        <w:t xml:space="preserve">The Assuring Transformation and Mental Health Services Data Set published January 2019 reported that </w:t>
      </w:r>
      <w:r w:rsidRPr="00913C2F">
        <w:rPr>
          <w:lang w:eastAsia="en-GB"/>
        </w:rPr>
        <w:t>1,335</w:t>
      </w:r>
      <w:r>
        <w:rPr>
          <w:lang w:eastAsia="en-GB"/>
        </w:rPr>
        <w:t xml:space="preserve"> people</w:t>
      </w:r>
      <w:r w:rsidRPr="00913C2F">
        <w:rPr>
          <w:lang w:eastAsia="en-GB"/>
        </w:rPr>
        <w:t xml:space="preserve"> (57</w:t>
      </w:r>
      <w:r>
        <w:rPr>
          <w:lang w:eastAsia="en-GB"/>
        </w:rPr>
        <w:t>%</w:t>
      </w:r>
      <w:r w:rsidRPr="00913C2F">
        <w:rPr>
          <w:lang w:eastAsia="en-GB"/>
        </w:rPr>
        <w:t xml:space="preserve">) had a total length of stay </w:t>
      </w:r>
      <w:r w:rsidR="00A71215">
        <w:rPr>
          <w:lang w:eastAsia="en-GB"/>
        </w:rPr>
        <w:t xml:space="preserve">in inpatient units </w:t>
      </w:r>
      <w:r w:rsidR="001E098B">
        <w:rPr>
          <w:lang w:eastAsia="en-GB"/>
        </w:rPr>
        <w:t xml:space="preserve">of over two </w:t>
      </w:r>
      <w:r w:rsidRPr="00913C2F">
        <w:rPr>
          <w:lang w:eastAsia="en-GB"/>
        </w:rPr>
        <w:t>years</w:t>
      </w:r>
      <w:r w:rsidR="00C013FE" w:rsidRPr="00FE6977">
        <w:rPr>
          <w:lang w:eastAsia="en-GB"/>
        </w:rPr>
        <w:t xml:space="preserve">. </w:t>
      </w:r>
      <w:r>
        <w:rPr>
          <w:lang w:eastAsia="en-GB"/>
        </w:rPr>
        <w:t xml:space="preserve"> </w:t>
      </w:r>
      <w:r w:rsidR="002E1DD1">
        <w:rPr>
          <w:lang w:eastAsia="en-GB"/>
        </w:rPr>
        <w:t>This compared with, o</w:t>
      </w:r>
      <w:r w:rsidR="002E1DD1" w:rsidRPr="002E1DD1">
        <w:rPr>
          <w:lang w:eastAsia="en-GB"/>
        </w:rPr>
        <w:t xml:space="preserve">f those in hospital at the end of July 2018, </w:t>
      </w:r>
      <w:r w:rsidR="00A71215">
        <w:rPr>
          <w:lang w:eastAsia="en-GB"/>
        </w:rPr>
        <w:t xml:space="preserve">where </w:t>
      </w:r>
      <w:r w:rsidR="002E1DD1" w:rsidRPr="002E1DD1">
        <w:rPr>
          <w:lang w:eastAsia="en-GB"/>
        </w:rPr>
        <w:t xml:space="preserve">1,390 </w:t>
      </w:r>
      <w:r w:rsidR="002E1DD1">
        <w:rPr>
          <w:lang w:eastAsia="en-GB"/>
        </w:rPr>
        <w:t xml:space="preserve">people </w:t>
      </w:r>
      <w:r w:rsidR="002E1DD1" w:rsidRPr="002E1DD1">
        <w:rPr>
          <w:lang w:eastAsia="en-GB"/>
        </w:rPr>
        <w:t>(58</w:t>
      </w:r>
      <w:r w:rsidR="002E1DD1">
        <w:rPr>
          <w:lang w:eastAsia="en-GB"/>
        </w:rPr>
        <w:t>%</w:t>
      </w:r>
      <w:r w:rsidR="002E1DD1" w:rsidRPr="002E1DD1">
        <w:rPr>
          <w:lang w:eastAsia="en-GB"/>
        </w:rPr>
        <w:t xml:space="preserve">) had </w:t>
      </w:r>
      <w:r w:rsidR="001E098B">
        <w:rPr>
          <w:lang w:eastAsia="en-GB"/>
        </w:rPr>
        <w:t>a total length of stay of over two</w:t>
      </w:r>
      <w:r w:rsidR="002E1DD1" w:rsidRPr="002E1DD1">
        <w:rPr>
          <w:lang w:eastAsia="en-GB"/>
        </w:rPr>
        <w:t xml:space="preserve"> years.</w:t>
      </w:r>
    </w:p>
    <w:p w14:paraId="1757C7D4" w14:textId="77777777" w:rsidR="00BA0528" w:rsidRDefault="00BA0528" w:rsidP="000F0BEC">
      <w:pPr>
        <w:sectPr w:rsidR="00BA0528" w:rsidSect="00A11F59">
          <w:pgSz w:w="11906" w:h="16838"/>
          <w:pgMar w:top="1440" w:right="1440" w:bottom="1440" w:left="1440" w:header="709" w:footer="283" w:gutter="0"/>
          <w:cols w:space="708"/>
          <w:docGrid w:linePitch="381"/>
        </w:sectPr>
      </w:pPr>
      <w:bookmarkStart w:id="33" w:name="_Toc2456730"/>
    </w:p>
    <w:p w14:paraId="09C4B471" w14:textId="2D3F96B8" w:rsidR="00585C95" w:rsidRPr="00AB03F1" w:rsidRDefault="00B12F43" w:rsidP="00B12F43">
      <w:pPr>
        <w:pStyle w:val="Heading1"/>
      </w:pPr>
      <w:bookmarkStart w:id="34" w:name="_Toc12477553"/>
      <w:r>
        <w:lastRenderedPageBreak/>
        <w:t>4</w:t>
      </w:r>
      <w:r>
        <w:tab/>
      </w:r>
      <w:r w:rsidR="00585C95" w:rsidRPr="00AB03F1">
        <w:t>Has Transforming Care Building the Right Support achieved its objectives?</w:t>
      </w:r>
      <w:bookmarkEnd w:id="33"/>
      <w:bookmarkEnd w:id="34"/>
      <w:r w:rsidR="00585C95" w:rsidRPr="00AB03F1">
        <w:t xml:space="preserve"> </w:t>
      </w:r>
    </w:p>
    <w:p w14:paraId="657513A0" w14:textId="4CB561F7" w:rsidR="00585C95" w:rsidRPr="00585C95" w:rsidRDefault="00585C95" w:rsidP="000F0BEC">
      <w:pPr>
        <w:rPr>
          <w:i/>
        </w:rPr>
      </w:pPr>
      <w:r w:rsidRPr="00585C95">
        <w:t>Once established the Transforming Care Partnerships developed implementation plans</w:t>
      </w:r>
      <w:r w:rsidR="003D5185">
        <w:t>,</w:t>
      </w:r>
      <w:r w:rsidRPr="00585C95">
        <w:t xml:space="preserve"> most of which were published in the Spring or Summer of 2016. They were of varying quality, although a good many showed evidence of a significant amount of work, careful planning and of wide consultation within local communities. </w:t>
      </w:r>
    </w:p>
    <w:p w14:paraId="1D397586" w14:textId="155234D2" w:rsidR="00585C95" w:rsidRPr="00585C95" w:rsidRDefault="0060647D" w:rsidP="000F0BEC">
      <w:r>
        <w:t xml:space="preserve">In the NHS Long Term Plan, NHS England claim that </w:t>
      </w:r>
      <w:r w:rsidR="00585C95" w:rsidRPr="00585C95">
        <w:t>“</w:t>
      </w:r>
      <w:r w:rsidR="00585C95" w:rsidRPr="00585C95">
        <w:rPr>
          <w:i/>
        </w:rPr>
        <w:t>Since 2015, the number of people in inpatient care has reduced by almost a fifth</w:t>
      </w:r>
      <w:r w:rsidR="00585C95" w:rsidRPr="00585C95">
        <w:t>”.</w:t>
      </w:r>
      <w:r>
        <w:t xml:space="preserve">  We have tried to recreate the calculation so that we can validate it.  </w:t>
      </w:r>
      <w:r w:rsidR="00585C95" w:rsidRPr="008B2750">
        <w:rPr>
          <w:i/>
        </w:rPr>
        <w:t>Building the Right Support</w:t>
      </w:r>
      <w:r>
        <w:rPr>
          <w:rStyle w:val="FootnoteReference"/>
        </w:rPr>
        <w:footnoteReference w:id="28"/>
      </w:r>
      <w:r>
        <w:t xml:space="preserve"> stated that there were 2,600 people in hospital (p6)</w:t>
      </w:r>
      <w:r w:rsidR="00483445">
        <w:t xml:space="preserve">, however the final Assuring Transformation reports that the number of people in hospital was 2,885 in March 2015.  As of </w:t>
      </w:r>
      <w:r w:rsidR="00585C95" w:rsidRPr="00585C95">
        <w:t>December 2018</w:t>
      </w:r>
      <w:r w:rsidR="00483445">
        <w:t>, Assuring Transformation</w:t>
      </w:r>
      <w:bookmarkStart w:id="35" w:name="_GoBack"/>
      <w:bookmarkEnd w:id="35"/>
      <w:r w:rsidR="00483445">
        <w:t xml:space="preserve"> provisionally reports that there were 2,325 people in hospital, 560 less people, </w:t>
      </w:r>
      <w:r w:rsidR="00585C95" w:rsidRPr="00585C95">
        <w:t>a reduction of 19.41%</w:t>
      </w:r>
      <w:r w:rsidR="00483445">
        <w:t>,</w:t>
      </w:r>
      <w:r w:rsidR="00585C95" w:rsidRPr="00585C95">
        <w:t xml:space="preserve"> “</w:t>
      </w:r>
      <w:r w:rsidR="00585C95" w:rsidRPr="00585C95">
        <w:rPr>
          <w:i/>
        </w:rPr>
        <w:t>almost a fifth</w:t>
      </w:r>
      <w:r w:rsidR="00585C95" w:rsidRPr="00585C95">
        <w:t xml:space="preserve">”. </w:t>
      </w:r>
    </w:p>
    <w:p w14:paraId="405E4FF9" w14:textId="4628F52C" w:rsidR="00585C95" w:rsidRPr="00585C95" w:rsidRDefault="00585C95" w:rsidP="000F0BEC">
      <w:r w:rsidRPr="00585C95">
        <w:t xml:space="preserve">The problem with this approach is that it is likely to significantly overestimate the rate of progress that has been achieved. </w:t>
      </w:r>
      <w:r w:rsidR="00483445">
        <w:t>It is highly likely that 2,325 as a</w:t>
      </w:r>
      <w:r w:rsidRPr="00585C95">
        <w:t xml:space="preserve"> “provisional” figure will change</w:t>
      </w:r>
      <w:r w:rsidR="00483445">
        <w:t xml:space="preserve"> and</w:t>
      </w:r>
      <w:r w:rsidRPr="00585C95">
        <w:t xml:space="preserve"> increase </w:t>
      </w:r>
      <w:r w:rsidR="00483445">
        <w:t xml:space="preserve">as additional people become known to commissioners.  To try and validate a more accurate figure, we also compared the final number of people reported as being in hospital in March 2018 (2,495) with the final number of people in hospital in March 2015 (2,885).  </w:t>
      </w:r>
      <w:r w:rsidR="0011205C">
        <w:t xml:space="preserve">This way of working it out gives us a 13.5% reduction as </w:t>
      </w:r>
      <w:r w:rsidR="00483445">
        <w:t>there were 390 fewer people in hospital</w:t>
      </w:r>
      <w:r w:rsidR="0011205C">
        <w:t xml:space="preserve"> by March 2018.  Allowing for improved data quality, we think that the rate of progress in reducing the number of </w:t>
      </w:r>
      <w:r w:rsidR="00482ABC">
        <w:rPr>
          <w:lang w:eastAsia="en-GB"/>
        </w:rPr>
        <w:t xml:space="preserve">people with learning disabilities </w:t>
      </w:r>
      <w:r w:rsidR="0011205C">
        <w:t>and autistic people who are inappropriately in hospital is more likely to be around 14% rather than the 20% claimed by NHS England.</w:t>
      </w:r>
    </w:p>
    <w:p w14:paraId="29FCD751" w14:textId="01EC3852" w:rsidR="00585C95" w:rsidRPr="00AB03F1" w:rsidRDefault="00585C95" w:rsidP="00D80F6B">
      <w:pPr>
        <w:pStyle w:val="Heading2"/>
      </w:pPr>
      <w:bookmarkStart w:id="36" w:name="_Toc2456735"/>
      <w:bookmarkStart w:id="37" w:name="_Toc12477554"/>
      <w:r w:rsidRPr="00AB03F1">
        <w:t xml:space="preserve">Why hasn’t </w:t>
      </w:r>
      <w:r w:rsidRPr="008B2750">
        <w:rPr>
          <w:i/>
        </w:rPr>
        <w:t>Building the Right Support</w:t>
      </w:r>
      <w:r w:rsidRPr="00AB03F1">
        <w:t xml:space="preserve"> delivered the outcomes that it promised</w:t>
      </w:r>
      <w:bookmarkEnd w:id="36"/>
      <w:r w:rsidR="005D0349" w:rsidRPr="00AB03F1">
        <w:t>?</w:t>
      </w:r>
      <w:bookmarkEnd w:id="37"/>
      <w:r w:rsidRPr="00AB03F1">
        <w:t xml:space="preserve"> </w:t>
      </w:r>
    </w:p>
    <w:p w14:paraId="63DD115F" w14:textId="7D1B1BB5" w:rsidR="00585C95" w:rsidRPr="00585C95" w:rsidRDefault="00585C95" w:rsidP="000F0BEC">
      <w:r w:rsidRPr="00585C95">
        <w:t>The Transforming Care Partnerships do not seem to have developed the impetus that was hoped for. The early efforts and optimism that is reflected in many of the plans was not sustained, p</w:t>
      </w:r>
      <w:r w:rsidR="0011205C">
        <w:t>ossibly</w:t>
      </w:r>
      <w:r w:rsidRPr="00585C95">
        <w:t xml:space="preserve"> because </w:t>
      </w:r>
      <w:r w:rsidR="0011205C">
        <w:t>of the inability to realise the anticipated hundreds of millions of pounds of money envisaged in the new financial framework</w:t>
      </w:r>
      <w:r w:rsidRPr="00585C95">
        <w:t>.</w:t>
      </w:r>
      <w:r w:rsidR="0011205C">
        <w:t xml:space="preserve">  Whilst the number of NHS Trust provided </w:t>
      </w:r>
      <w:r w:rsidR="00357F14">
        <w:t>specialist learning disability beds has reduced, the number of beds in the independent/private sector was not well enough understood at the start of Transforming Care and remains an insufficiently well scoped significant contributor to the bed base.  Given the number and cost of private sector beds, we have previously reported that the average fee per week is in the region of £3,564</w:t>
      </w:r>
      <w:r w:rsidR="00357F14">
        <w:rPr>
          <w:rStyle w:val="FootnoteReference"/>
        </w:rPr>
        <w:footnoteReference w:id="29"/>
      </w:r>
      <w:r w:rsidR="00357F14">
        <w:t xml:space="preserve"> per person (p6), it is not appropriate that </w:t>
      </w:r>
      <w:r w:rsidR="00357F14">
        <w:lastRenderedPageBreak/>
        <w:t>only 14 providers report into the Mental Health Services Data Set.  As long as this practice is allowed to continue, progress in reducing the number of people inappropriately in hospital and releasing the money committed to detain them for investment in community alternatives will remain impeded.</w:t>
      </w:r>
    </w:p>
    <w:p w14:paraId="04A76ACC" w14:textId="4375E2FA" w:rsidR="00802CE6" w:rsidRDefault="004206F2" w:rsidP="000F0BEC">
      <w:r>
        <w:t>R</w:t>
      </w:r>
      <w:r w:rsidR="00585C95" w:rsidRPr="00585C95">
        <w:t>educing the number of people in inpatient hospital</w:t>
      </w:r>
      <w:r w:rsidR="007D4736">
        <w:t>s</w:t>
      </w:r>
      <w:r w:rsidR="00585C95" w:rsidRPr="00585C95">
        <w:t xml:space="preserve"> </w:t>
      </w:r>
      <w:r w:rsidR="009143C2">
        <w:t>is not</w:t>
      </w:r>
      <w:r w:rsidR="00585C95" w:rsidRPr="00585C95">
        <w:t xml:space="preserve"> just about developing systems that will help to get people out of hospital, it is about having support in people’s everyday lives. Some of </w:t>
      </w:r>
      <w:r>
        <w:t xml:space="preserve">that support may be about responses to </w:t>
      </w:r>
      <w:r w:rsidR="00585C95" w:rsidRPr="00585C95">
        <w:t>crisi</w:t>
      </w:r>
      <w:r>
        <w:t>s</w:t>
      </w:r>
      <w:r w:rsidR="00585C95" w:rsidRPr="00585C95">
        <w:t>, but much</w:t>
      </w:r>
      <w:r>
        <w:t xml:space="preserve"> more needs to be focused </w:t>
      </w:r>
      <w:r w:rsidR="00585C95" w:rsidRPr="00585C95">
        <w:t xml:space="preserve">simply </w:t>
      </w:r>
      <w:r>
        <w:t>on</w:t>
      </w:r>
      <w:r w:rsidR="00585C95" w:rsidRPr="00585C95">
        <w:t xml:space="preserve"> support </w:t>
      </w:r>
      <w:r>
        <w:t>to</w:t>
      </w:r>
      <w:r w:rsidR="00585C95" w:rsidRPr="00585C95">
        <w:t xml:space="preserve"> help people to live their everyday lives.</w:t>
      </w:r>
      <w:r>
        <w:t xml:space="preserve">   However, as long as Transforming Care remains a professional led programme, it will remain focused on prioritising professional concerns.  Financial balances, patient flows, compliance with compiling registers of people in the community who are deemed by professional to be at risk.  If Transforming Care is to </w:t>
      </w:r>
      <w:r w:rsidR="00033ADD">
        <w:t xml:space="preserve">make a paradigm shift in focus and impact, Transforming Care version 0.3 will need to make a transformational shift in understanding of who should be leading the programme.  It is our strongly held view, that any future work to reduce the number of </w:t>
      </w:r>
      <w:r w:rsidR="00482ABC">
        <w:rPr>
          <w:lang w:eastAsia="en-GB"/>
        </w:rPr>
        <w:t xml:space="preserve">people with learning disabilities </w:t>
      </w:r>
      <w:r w:rsidR="00033ADD">
        <w:t xml:space="preserve">and autistic people in long stay beds (of all types, private, NHS, residential, nursing, mental health hospital) must be led by </w:t>
      </w:r>
      <w:r w:rsidR="00482ABC">
        <w:rPr>
          <w:lang w:eastAsia="en-GB"/>
        </w:rPr>
        <w:t xml:space="preserve">people with learning disabilities </w:t>
      </w:r>
      <w:r w:rsidR="00033ADD">
        <w:t>and autistic people, their families and peer advocates.</w:t>
      </w:r>
    </w:p>
    <w:p w14:paraId="71B0ED07" w14:textId="731B2B72" w:rsidR="00B15533" w:rsidRDefault="00B15533" w:rsidP="000F0BEC"/>
    <w:p w14:paraId="745EA34E" w14:textId="77777777" w:rsidR="00B15533" w:rsidRPr="00033ADD" w:rsidRDefault="00B15533" w:rsidP="000F0BEC">
      <w:pPr>
        <w:sectPr w:rsidR="00B15533" w:rsidRPr="00033ADD" w:rsidSect="00A11F59">
          <w:pgSz w:w="11906" w:h="16838"/>
          <w:pgMar w:top="1440" w:right="1440" w:bottom="1440" w:left="1440" w:header="709" w:footer="283" w:gutter="0"/>
          <w:cols w:space="708"/>
          <w:docGrid w:linePitch="381"/>
        </w:sectPr>
      </w:pPr>
    </w:p>
    <w:p w14:paraId="1EDA76A7" w14:textId="67C524A4" w:rsidR="002D797A" w:rsidRDefault="002D797A" w:rsidP="002D797A">
      <w:pPr>
        <w:keepNext/>
        <w:keepLines/>
      </w:pPr>
      <w:r>
        <w:rPr>
          <w:noProof/>
          <w:lang w:eastAsia="en-GB"/>
        </w:rPr>
        <w:lastRenderedPageBreak/>
        <w:drawing>
          <wp:inline distT="0" distB="0" distL="0" distR="0" wp14:anchorId="111B9487" wp14:editId="5AA80FA7">
            <wp:extent cx="5638800" cy="673444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86" b="770"/>
                    <a:stretch/>
                  </pic:blipFill>
                  <pic:spPr bwMode="auto">
                    <a:xfrm>
                      <a:off x="0" y="0"/>
                      <a:ext cx="5648800" cy="6746389"/>
                    </a:xfrm>
                    <a:prstGeom prst="rect">
                      <a:avLst/>
                    </a:prstGeom>
                    <a:ln>
                      <a:noFill/>
                    </a:ln>
                    <a:extLst>
                      <a:ext uri="{53640926-AAD7-44D8-BBD7-CCE9431645EC}">
                        <a14:shadowObscured xmlns:a14="http://schemas.microsoft.com/office/drawing/2010/main"/>
                      </a:ext>
                    </a:extLst>
                  </pic:spPr>
                </pic:pic>
              </a:graphicData>
            </a:graphic>
          </wp:inline>
        </w:drawing>
      </w:r>
    </w:p>
    <w:p w14:paraId="0396FFDF" w14:textId="136C34D1" w:rsidR="0010647C" w:rsidRDefault="00BE3A56" w:rsidP="00A90DF3">
      <w:pPr>
        <w:pStyle w:val="Figures"/>
      </w:pPr>
      <w:bookmarkStart w:id="38" w:name="_Toc13644482"/>
      <w:r w:rsidRPr="00BE3A56">
        <w:t xml:space="preserve">Figure </w:t>
      </w:r>
      <w:r w:rsidR="00482ABC">
        <w:t>6</w:t>
      </w:r>
      <w:r w:rsidR="00B52556">
        <w:t xml:space="preserve"> </w:t>
      </w:r>
      <w:r>
        <w:t xml:space="preserve"> Location of Specialist </w:t>
      </w:r>
      <w:r w:rsidR="00AF3856">
        <w:t>Independent Hospitals</w:t>
      </w:r>
      <w:r w:rsidR="00AB5411">
        <w:t>,</w:t>
      </w:r>
      <w:r w:rsidR="00AF3856">
        <w:t xml:space="preserve"> by the number of beds provided</w:t>
      </w:r>
      <w:r w:rsidR="00AB5411">
        <w:t>,</w:t>
      </w:r>
      <w:r w:rsidR="00AF3856">
        <w:t xml:space="preserve"> registered with the CQC</w:t>
      </w:r>
      <w:r>
        <w:t xml:space="preserve"> for</w:t>
      </w:r>
      <w:r w:rsidR="00AF3856">
        <w:t xml:space="preserve"> assessment and treatment of</w:t>
      </w:r>
      <w:r>
        <w:t xml:space="preserve"> </w:t>
      </w:r>
      <w:r w:rsidR="00482ABC">
        <w:rPr>
          <w:lang w:eastAsia="en-GB"/>
        </w:rPr>
        <w:t xml:space="preserve">people with learning disabilities </w:t>
      </w:r>
      <w:r w:rsidR="00482ABC">
        <w:t>and/or autistic p</w:t>
      </w:r>
      <w:r>
        <w:t>eople</w:t>
      </w:r>
      <w:r>
        <w:rPr>
          <w:rStyle w:val="FootnoteReference"/>
          <w:sz w:val="22"/>
          <w:szCs w:val="22"/>
        </w:rPr>
        <w:footnoteReference w:id="30"/>
      </w:r>
      <w:bookmarkEnd w:id="38"/>
    </w:p>
    <w:p w14:paraId="40C689F0" w14:textId="77777777" w:rsidR="00AB03F1" w:rsidRDefault="00AB03F1" w:rsidP="00A90DF3">
      <w:pPr>
        <w:pStyle w:val="Figures"/>
      </w:pPr>
    </w:p>
    <w:p w14:paraId="7294CED6" w14:textId="77777777" w:rsidR="00AB03F1" w:rsidRDefault="00AB03F1" w:rsidP="000F0BEC">
      <w:pPr>
        <w:sectPr w:rsidR="00AB03F1" w:rsidSect="00A11F59">
          <w:pgSz w:w="11906" w:h="16838"/>
          <w:pgMar w:top="1440" w:right="1440" w:bottom="1440" w:left="1440" w:header="709" w:footer="283" w:gutter="0"/>
          <w:cols w:space="708"/>
          <w:docGrid w:linePitch="381"/>
        </w:sectPr>
      </w:pPr>
    </w:p>
    <w:p w14:paraId="5FB84A41" w14:textId="77777777" w:rsidR="002D797A" w:rsidRDefault="002D797A" w:rsidP="000F0BEC"/>
    <w:p w14:paraId="6C6E43C8" w14:textId="77777777" w:rsidR="002D797A" w:rsidRDefault="002D797A" w:rsidP="000F0BEC"/>
    <w:p w14:paraId="35ADD8BC" w14:textId="77777777" w:rsidR="002D797A" w:rsidRDefault="002D797A" w:rsidP="000F0BEC"/>
    <w:p w14:paraId="33B3390F" w14:textId="77777777" w:rsidR="002D797A" w:rsidRDefault="002D797A" w:rsidP="000F0BEC"/>
    <w:p w14:paraId="6B806BA0" w14:textId="77777777" w:rsidR="002D797A" w:rsidRDefault="002D797A" w:rsidP="000F0BEC"/>
    <w:p w14:paraId="200098AE" w14:textId="5496D16C" w:rsidR="00585F6F" w:rsidRPr="00585F6F" w:rsidRDefault="00585F6F" w:rsidP="000F0BEC">
      <w:r w:rsidRPr="00585F6F">
        <w:t>In this report we argue tha</w:t>
      </w:r>
      <w:r w:rsidR="00554DA8">
        <w:t>t</w:t>
      </w:r>
      <w:r w:rsidR="00A84C89">
        <w:t xml:space="preserve"> </w:t>
      </w:r>
      <w:r w:rsidR="00554DA8">
        <w:t xml:space="preserve">the national policy, </w:t>
      </w:r>
      <w:r w:rsidR="007D4736">
        <w:t>T</w:t>
      </w:r>
      <w:r w:rsidR="00554DA8">
        <w:t xml:space="preserve">ransforming </w:t>
      </w:r>
      <w:r w:rsidR="007D4736">
        <w:t>C</w:t>
      </w:r>
      <w:r w:rsidR="00554DA8">
        <w:t xml:space="preserve">are, </w:t>
      </w:r>
      <w:r w:rsidR="00434998">
        <w:t xml:space="preserve">has </w:t>
      </w:r>
      <w:r w:rsidR="005D0185">
        <w:t xml:space="preserve">not met its goal of achieving profound and radical change which would reduce by </w:t>
      </w:r>
      <w:r w:rsidR="00B612E9">
        <w:t>over a</w:t>
      </w:r>
      <w:r w:rsidR="005D0185">
        <w:t xml:space="preserve"> third the number of </w:t>
      </w:r>
      <w:r w:rsidR="00482ABC">
        <w:rPr>
          <w:lang w:eastAsia="en-GB"/>
        </w:rPr>
        <w:t xml:space="preserve">people with learning disabilities </w:t>
      </w:r>
      <w:r w:rsidR="005D0185">
        <w:t>and autistic people who are inappropriately in hospital</w:t>
      </w:r>
      <w:r w:rsidR="00A84C89">
        <w:t xml:space="preserve"> due to a failure to position </w:t>
      </w:r>
      <w:r w:rsidR="00482ABC">
        <w:rPr>
          <w:lang w:eastAsia="en-GB"/>
        </w:rPr>
        <w:t xml:space="preserve">people with learning disabilities </w:t>
      </w:r>
      <w:r w:rsidR="00A84C89">
        <w:t>and autistic people and their families as leaders of the national programme.</w:t>
      </w:r>
    </w:p>
    <w:p w14:paraId="51EE0222" w14:textId="77777777" w:rsidR="00585F6F" w:rsidRDefault="00585F6F" w:rsidP="000F0BEC"/>
    <w:p w14:paraId="4BBA03A3" w14:textId="773008D0" w:rsidR="00003733" w:rsidRDefault="00003733" w:rsidP="000F0BEC"/>
    <w:p w14:paraId="0508C63B" w14:textId="3548D544" w:rsidR="002D797A" w:rsidRDefault="002D797A" w:rsidP="000F0BEC"/>
    <w:p w14:paraId="462A5224" w14:textId="0EF1F641" w:rsidR="002D797A" w:rsidRDefault="002D797A" w:rsidP="000F0BEC"/>
    <w:p w14:paraId="31189D31" w14:textId="6C97D037" w:rsidR="002D797A" w:rsidRDefault="002D797A" w:rsidP="000F0BEC"/>
    <w:p w14:paraId="171BBE3A" w14:textId="7A978992" w:rsidR="002D797A" w:rsidRDefault="002D797A" w:rsidP="000F0BEC"/>
    <w:p w14:paraId="22858E0B" w14:textId="0628F14B" w:rsidR="002D797A" w:rsidRDefault="002D797A" w:rsidP="000F0BEC"/>
    <w:p w14:paraId="6BBD6B4A" w14:textId="5CC9D3B1" w:rsidR="002D797A" w:rsidRDefault="002D797A" w:rsidP="000F0BEC"/>
    <w:p w14:paraId="4BE2D0EE" w14:textId="540DC265" w:rsidR="002D797A" w:rsidRDefault="002D797A" w:rsidP="000F0BEC"/>
    <w:p w14:paraId="4D4B2BE9" w14:textId="5E1A75FA" w:rsidR="002D797A" w:rsidRDefault="002D797A" w:rsidP="000F0BEC"/>
    <w:p w14:paraId="382CE5AA" w14:textId="60F8C714" w:rsidR="002D797A" w:rsidRDefault="002D797A" w:rsidP="000F0BEC"/>
    <w:p w14:paraId="4556605F" w14:textId="18481EA0" w:rsidR="002D797A" w:rsidRDefault="002D797A" w:rsidP="000F0BEC"/>
    <w:p w14:paraId="50A71831" w14:textId="4D3F9139" w:rsidR="002D797A" w:rsidRDefault="002D797A" w:rsidP="000F0BEC">
      <w:r w:rsidRPr="00C149DD">
        <w:rPr>
          <w:noProof/>
          <w:lang w:eastAsia="en-GB"/>
        </w:rPr>
        <w:drawing>
          <wp:anchor distT="0" distB="0" distL="114300" distR="114300" simplePos="0" relativeHeight="251661312" behindDoc="1" locked="0" layoutInCell="1" allowOverlap="1" wp14:anchorId="2CA67956" wp14:editId="45FE86C2">
            <wp:simplePos x="0" y="0"/>
            <wp:positionH relativeFrom="margin">
              <wp:align>right</wp:align>
            </wp:positionH>
            <wp:positionV relativeFrom="margin">
              <wp:posOffset>7200900</wp:posOffset>
            </wp:positionV>
            <wp:extent cx="5482800" cy="150120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e-for-disability-resea.tif"/>
                    <pic:cNvPicPr/>
                  </pic:nvPicPr>
                  <pic:blipFill>
                    <a:blip r:embed="rId38">
                      <a:extLst>
                        <a:ext uri="{28A0092B-C50C-407E-A947-70E740481C1C}">
                          <a14:useLocalDpi xmlns:a14="http://schemas.microsoft.com/office/drawing/2010/main" val="0"/>
                        </a:ext>
                      </a:extLst>
                    </a:blip>
                    <a:stretch>
                      <a:fillRect/>
                    </a:stretch>
                  </pic:blipFill>
                  <pic:spPr>
                    <a:xfrm>
                      <a:off x="0" y="0"/>
                      <a:ext cx="5482800" cy="1501200"/>
                    </a:xfrm>
                    <a:prstGeom prst="rect">
                      <a:avLst/>
                    </a:prstGeom>
                  </pic:spPr>
                </pic:pic>
              </a:graphicData>
            </a:graphic>
            <wp14:sizeRelH relativeFrom="margin">
              <wp14:pctWidth>0</wp14:pctWidth>
            </wp14:sizeRelH>
            <wp14:sizeRelV relativeFrom="margin">
              <wp14:pctHeight>0</wp14:pctHeight>
            </wp14:sizeRelV>
          </wp:anchor>
        </w:drawing>
      </w:r>
    </w:p>
    <w:p w14:paraId="09FE3AFE" w14:textId="7929E1BC" w:rsidR="002D797A" w:rsidRDefault="002D797A" w:rsidP="000F0BEC"/>
    <w:p w14:paraId="56C5E3BB" w14:textId="77777777" w:rsidR="002D797A" w:rsidRDefault="002D797A" w:rsidP="000F0BEC"/>
    <w:p w14:paraId="3A2A6E8A" w14:textId="37F85772" w:rsidR="00003733" w:rsidRDefault="00003733" w:rsidP="000F0BEC"/>
    <w:p w14:paraId="08DF744F" w14:textId="57C7E0A5" w:rsidR="00003733" w:rsidRPr="002D797A" w:rsidRDefault="00243862" w:rsidP="002D797A">
      <w:pPr>
        <w:jc w:val="right"/>
        <w:rPr>
          <w:color w:val="375F3E"/>
          <w:sz w:val="32"/>
          <w:szCs w:val="32"/>
        </w:rPr>
      </w:pPr>
      <w:hyperlink r:id="rId39" w:history="1">
        <w:r w:rsidR="00003733" w:rsidRPr="002D797A">
          <w:rPr>
            <w:rStyle w:val="Hyperlink"/>
            <w:color w:val="375F3E"/>
            <w:sz w:val="32"/>
            <w:szCs w:val="32"/>
          </w:rPr>
          <w:t>http://wp.lancs.ac.uk/cedr</w:t>
        </w:r>
      </w:hyperlink>
    </w:p>
    <w:sectPr w:rsidR="00003733" w:rsidRPr="002D797A" w:rsidSect="004C7851">
      <w:pgSz w:w="11906" w:h="16838"/>
      <w:pgMar w:top="1440" w:right="1440" w:bottom="1440" w:left="1440"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C19C4" w14:textId="77777777" w:rsidR="00243862" w:rsidRDefault="00243862" w:rsidP="000F0BEC">
      <w:r>
        <w:separator/>
      </w:r>
    </w:p>
    <w:p w14:paraId="2DD52AC1" w14:textId="77777777" w:rsidR="00243862" w:rsidRDefault="00243862" w:rsidP="000F0BEC"/>
  </w:endnote>
  <w:endnote w:type="continuationSeparator" w:id="0">
    <w:p w14:paraId="5A952002" w14:textId="77777777" w:rsidR="00243862" w:rsidRDefault="00243862" w:rsidP="000F0BEC">
      <w:r>
        <w:continuationSeparator/>
      </w:r>
    </w:p>
    <w:p w14:paraId="25F9CA50" w14:textId="77777777" w:rsidR="00243862" w:rsidRDefault="00243862" w:rsidP="000F0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932117"/>
      <w:docPartObj>
        <w:docPartGallery w:val="Page Numbers (Bottom of Page)"/>
        <w:docPartUnique/>
      </w:docPartObj>
    </w:sdtPr>
    <w:sdtEndPr>
      <w:rPr>
        <w:noProof/>
      </w:rPr>
    </w:sdtEndPr>
    <w:sdtContent>
      <w:p w14:paraId="1834B3CE" w14:textId="3845ACB2" w:rsidR="00F06042" w:rsidRDefault="00F06042" w:rsidP="00204E09">
        <w:pPr>
          <w:pStyle w:val="Footer"/>
          <w:pBdr>
            <w:top w:val="single" w:sz="8" w:space="1" w:color="375F3E"/>
          </w:pBdr>
          <w:rPr>
            <w:noProof/>
          </w:rPr>
        </w:pPr>
      </w:p>
      <w:p w14:paraId="6A2E74E6" w14:textId="1D887D1E" w:rsidR="00F06042" w:rsidRDefault="00243862" w:rsidP="00204E09">
        <w:pPr>
          <w:pStyle w:val="Footer"/>
          <w:pBdr>
            <w:top w:val="single" w:sz="8" w:space="1" w:color="375F3E"/>
          </w:pBdr>
        </w:pPr>
      </w:p>
    </w:sdtContent>
  </w:sdt>
  <w:p w14:paraId="6EA69EDA" w14:textId="77777777" w:rsidR="00F06042" w:rsidRDefault="00F06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969157"/>
      <w:docPartObj>
        <w:docPartGallery w:val="Page Numbers (Bottom of Page)"/>
        <w:docPartUnique/>
      </w:docPartObj>
    </w:sdtPr>
    <w:sdtEndPr>
      <w:rPr>
        <w:noProof/>
      </w:rPr>
    </w:sdtEndPr>
    <w:sdtContent>
      <w:p w14:paraId="77AF0A1E" w14:textId="39562DF4" w:rsidR="00F06042" w:rsidRPr="00681971" w:rsidRDefault="00F06042" w:rsidP="000F0BEC">
        <w:pPr>
          <w:pStyle w:val="Footer"/>
        </w:pPr>
        <w:r w:rsidRPr="00681971">
          <w:fldChar w:fldCharType="begin"/>
        </w:r>
        <w:r w:rsidRPr="00681971">
          <w:instrText xml:space="preserve"> PAGE   \* MERGEFORMAT </w:instrText>
        </w:r>
        <w:r w:rsidRPr="00681971">
          <w:fldChar w:fldCharType="separate"/>
        </w:r>
        <w:r w:rsidR="00477FBD">
          <w:rPr>
            <w:noProof/>
          </w:rPr>
          <w:t>3</w:t>
        </w:r>
        <w:r w:rsidRPr="00681971">
          <w:rPr>
            <w:noProof/>
          </w:rPr>
          <w:fldChar w:fldCharType="end"/>
        </w:r>
      </w:p>
    </w:sdtContent>
  </w:sdt>
  <w:p w14:paraId="56E72496" w14:textId="77777777" w:rsidR="00F06042" w:rsidRDefault="00F06042" w:rsidP="000F0B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FAFE" w14:textId="438BA9C7" w:rsidR="00F06042" w:rsidRDefault="00477FBD" w:rsidP="000F0BEC">
    <w:pPr>
      <w:pStyle w:val="Footer"/>
    </w:pPr>
    <w:r w:rsidRPr="00C149DD">
      <w:rPr>
        <w:noProof/>
        <w:lang w:eastAsia="en-GB"/>
      </w:rPr>
      <w:drawing>
        <wp:anchor distT="0" distB="0" distL="114300" distR="114300" simplePos="0" relativeHeight="251659264" behindDoc="0" locked="0" layoutInCell="1" allowOverlap="1" wp14:anchorId="5FFD0597" wp14:editId="2C51B6AD">
          <wp:simplePos x="0" y="0"/>
          <wp:positionH relativeFrom="margin">
            <wp:align>center</wp:align>
          </wp:positionH>
          <wp:positionV relativeFrom="page">
            <wp:posOffset>9114155</wp:posOffset>
          </wp:positionV>
          <wp:extent cx="4546868" cy="12446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e-for-disability-resea.tif"/>
                  <pic:cNvPicPr/>
                </pic:nvPicPr>
                <pic:blipFill>
                  <a:blip r:embed="rId1">
                    <a:extLst>
                      <a:ext uri="{28A0092B-C50C-407E-A947-70E740481C1C}">
                        <a14:useLocalDpi xmlns:a14="http://schemas.microsoft.com/office/drawing/2010/main" val="0"/>
                      </a:ext>
                    </a:extLst>
                  </a:blip>
                  <a:stretch>
                    <a:fillRect/>
                  </a:stretch>
                </pic:blipFill>
                <pic:spPr>
                  <a:xfrm>
                    <a:off x="0" y="0"/>
                    <a:ext cx="4546868" cy="1244600"/>
                  </a:xfrm>
                  <a:prstGeom prst="rect">
                    <a:avLst/>
                  </a:prstGeom>
                </pic:spPr>
              </pic:pic>
            </a:graphicData>
          </a:graphic>
          <wp14:sizeRelH relativeFrom="margin">
            <wp14:pctWidth>0</wp14:pctWidth>
          </wp14:sizeRelH>
          <wp14:sizeRelV relativeFrom="margin">
            <wp14:pctHeight>0</wp14:pctHeight>
          </wp14:sizeRelV>
        </wp:anchor>
      </w:drawing>
    </w:r>
  </w:p>
  <w:p w14:paraId="0FDEAE67" w14:textId="77777777" w:rsidR="00F06042" w:rsidRDefault="00F06042" w:rsidP="000F0B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C3FE" w14:textId="5A1CC913" w:rsidR="00477FBD" w:rsidRDefault="00477FBD" w:rsidP="000F0BEC">
    <w:pPr>
      <w:pStyle w:val="Footer"/>
    </w:pPr>
  </w:p>
  <w:p w14:paraId="1D2EC337" w14:textId="77777777" w:rsidR="00477FBD" w:rsidRDefault="00477FBD" w:rsidP="000F0B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655591"/>
      <w:docPartObj>
        <w:docPartGallery w:val="Page Numbers (Bottom of Page)"/>
        <w:docPartUnique/>
      </w:docPartObj>
    </w:sdtPr>
    <w:sdtEndPr>
      <w:rPr>
        <w:noProof/>
      </w:rPr>
    </w:sdtEndPr>
    <w:sdtContent>
      <w:p w14:paraId="7BC9F584" w14:textId="2F722F51" w:rsidR="00F06042" w:rsidRDefault="00F06042" w:rsidP="000F0BEC">
        <w:pPr>
          <w:pStyle w:val="Footer"/>
          <w:pBdr>
            <w:top w:val="single" w:sz="8" w:space="1" w:color="375F3E"/>
          </w:pBdr>
          <w:jc w:val="right"/>
          <w:rPr>
            <w:noProof/>
          </w:rPr>
        </w:pPr>
        <w:r w:rsidRPr="00681971">
          <w:fldChar w:fldCharType="begin"/>
        </w:r>
        <w:r w:rsidRPr="00681971">
          <w:instrText xml:space="preserve"> PAGE   \* MERGEFORMAT </w:instrText>
        </w:r>
        <w:r w:rsidRPr="00681971">
          <w:fldChar w:fldCharType="separate"/>
        </w:r>
        <w:r w:rsidR="0041547C">
          <w:rPr>
            <w:noProof/>
          </w:rPr>
          <w:t>21</w:t>
        </w:r>
        <w:r w:rsidRPr="00681971">
          <w:rPr>
            <w:noProof/>
          </w:rPr>
          <w:fldChar w:fldCharType="end"/>
        </w:r>
      </w:p>
      <w:p w14:paraId="20BE5F13" w14:textId="0E33FEFD" w:rsidR="00F06042" w:rsidRPr="00681971" w:rsidRDefault="00243862" w:rsidP="000F0BEC">
        <w:pPr>
          <w:pStyle w:val="Footer"/>
          <w:pBdr>
            <w:top w:val="single" w:sz="8" w:space="1" w:color="375F3E"/>
          </w:pBdr>
          <w:jc w:val="right"/>
        </w:pPr>
      </w:p>
    </w:sdtContent>
  </w:sdt>
  <w:p w14:paraId="425224BC" w14:textId="77777777" w:rsidR="00F06042" w:rsidRDefault="00F06042" w:rsidP="000F0B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291564"/>
      <w:docPartObj>
        <w:docPartGallery w:val="Page Numbers (Bottom of Page)"/>
        <w:docPartUnique/>
      </w:docPartObj>
    </w:sdtPr>
    <w:sdtEndPr>
      <w:rPr>
        <w:noProof/>
      </w:rPr>
    </w:sdtEndPr>
    <w:sdtContent>
      <w:p w14:paraId="4E604E71" w14:textId="42A08597" w:rsidR="00F06042" w:rsidRDefault="00F06042" w:rsidP="00204E09">
        <w:pPr>
          <w:pStyle w:val="Footer"/>
          <w:pBdr>
            <w:top w:val="single" w:sz="8" w:space="1" w:color="375F3E"/>
          </w:pBdr>
          <w:rPr>
            <w:noProof/>
          </w:rPr>
        </w:pPr>
        <w:r>
          <w:fldChar w:fldCharType="begin"/>
        </w:r>
        <w:r>
          <w:instrText xml:space="preserve"> PAGE   \* MERGEFORMAT </w:instrText>
        </w:r>
        <w:r>
          <w:fldChar w:fldCharType="separate"/>
        </w:r>
        <w:r w:rsidR="0041547C">
          <w:rPr>
            <w:noProof/>
          </w:rPr>
          <w:t>22</w:t>
        </w:r>
        <w:r>
          <w:rPr>
            <w:noProof/>
          </w:rPr>
          <w:fldChar w:fldCharType="end"/>
        </w:r>
      </w:p>
      <w:p w14:paraId="5FAE301F" w14:textId="77777777" w:rsidR="00F06042" w:rsidRDefault="00243862" w:rsidP="00204E09">
        <w:pPr>
          <w:pStyle w:val="Footer"/>
          <w:pBdr>
            <w:top w:val="single" w:sz="8" w:space="1" w:color="375F3E"/>
          </w:pBdr>
        </w:pPr>
      </w:p>
    </w:sdtContent>
  </w:sdt>
  <w:p w14:paraId="387904C1" w14:textId="77777777" w:rsidR="00F06042" w:rsidRDefault="00F06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9BB08" w14:textId="77777777" w:rsidR="00243862" w:rsidRDefault="00243862" w:rsidP="000F0BEC">
      <w:r>
        <w:separator/>
      </w:r>
    </w:p>
    <w:p w14:paraId="07A8FA07" w14:textId="77777777" w:rsidR="00243862" w:rsidRDefault="00243862" w:rsidP="000F0BEC"/>
  </w:footnote>
  <w:footnote w:type="continuationSeparator" w:id="0">
    <w:p w14:paraId="418BB55B" w14:textId="77777777" w:rsidR="00243862" w:rsidRDefault="00243862" w:rsidP="000F0BEC">
      <w:r>
        <w:continuationSeparator/>
      </w:r>
    </w:p>
    <w:p w14:paraId="27B929D2" w14:textId="77777777" w:rsidR="00243862" w:rsidRDefault="00243862" w:rsidP="000F0BEC"/>
  </w:footnote>
  <w:footnote w:id="1">
    <w:p w14:paraId="1A2D8AB7" w14:textId="27AF257A" w:rsidR="00F06042" w:rsidRDefault="00F06042" w:rsidP="000F0BEC">
      <w:pPr>
        <w:pStyle w:val="FootnoteText"/>
      </w:pPr>
      <w:r>
        <w:rPr>
          <w:rStyle w:val="FootnoteReference"/>
        </w:rPr>
        <w:footnoteRef/>
      </w:r>
      <w:r>
        <w:t xml:space="preserve"> </w:t>
      </w:r>
      <w:hyperlink r:id="rId1" w:history="1">
        <w:r w:rsidRPr="009E2753">
          <w:rPr>
            <w:rStyle w:val="Hyperlink"/>
          </w:rPr>
          <w:t>https://www.gov.uk/government/publications/people-with-learning-disabilities-in-england-2015</w:t>
        </w:r>
      </w:hyperlink>
      <w:r>
        <w:t xml:space="preserve"> </w:t>
      </w:r>
    </w:p>
  </w:footnote>
  <w:footnote w:id="2">
    <w:p w14:paraId="1F03D38C" w14:textId="39E1C099" w:rsidR="00F06042" w:rsidRDefault="00F06042" w:rsidP="000F0BEC">
      <w:pPr>
        <w:pStyle w:val="FootnoteText"/>
      </w:pPr>
      <w:r>
        <w:rPr>
          <w:rStyle w:val="FootnoteReference"/>
        </w:rPr>
        <w:footnoteRef/>
      </w:r>
      <w:r>
        <w:t xml:space="preserve"> </w:t>
      </w:r>
      <w:hyperlink r:id="rId2" w:history="1">
        <w:r w:rsidRPr="000C6C83">
          <w:rPr>
            <w:rStyle w:val="Hyperlink"/>
          </w:rPr>
          <w:t>https://digital.nhs.uk/data-and-information/publications/statistical/adult-social-care-activity-and-finance-report/2017-18</w:t>
        </w:r>
      </w:hyperlink>
      <w:r>
        <w:t xml:space="preserve"> </w:t>
      </w:r>
      <w:hyperlink r:id="rId3" w:history="1">
        <w:r w:rsidRPr="009E2753">
          <w:rPr>
            <w:rStyle w:val="Hyperlink"/>
          </w:rPr>
          <w:t>https://www.nao.org.uk/wp-content/uploads/2017/03/Local-support-for-people-with-a-learning-disability.pdf</w:t>
        </w:r>
      </w:hyperlink>
      <w:r>
        <w:t xml:space="preserve"> </w:t>
      </w:r>
    </w:p>
  </w:footnote>
  <w:footnote w:id="3">
    <w:p w14:paraId="32232DCA" w14:textId="4AB7B20A" w:rsidR="00F06042" w:rsidRDefault="00F06042" w:rsidP="000F0BEC">
      <w:pPr>
        <w:pStyle w:val="FootnoteText"/>
      </w:pPr>
      <w:r>
        <w:rPr>
          <w:rStyle w:val="FootnoteReference"/>
        </w:rPr>
        <w:footnoteRef/>
      </w:r>
      <w:r>
        <w:t xml:space="preserve"> </w:t>
      </w:r>
      <w:hyperlink r:id="rId4" w:history="1">
        <w:r w:rsidRPr="009E2753">
          <w:rPr>
            <w:rStyle w:val="Hyperlink"/>
          </w:rPr>
          <w:t>https://www.emeraldinsight.com/doi/full/10.1108/TLDR-02-2017-0010</w:t>
        </w:r>
      </w:hyperlink>
      <w:r>
        <w:t xml:space="preserve"> </w:t>
      </w:r>
    </w:p>
  </w:footnote>
  <w:footnote w:id="4">
    <w:p w14:paraId="3B04CC74" w14:textId="7A56D89C" w:rsidR="00F06042" w:rsidRDefault="00F06042" w:rsidP="000F0BEC">
      <w:pPr>
        <w:pStyle w:val="FootnoteText"/>
      </w:pPr>
      <w:r>
        <w:rPr>
          <w:rStyle w:val="FootnoteReference"/>
        </w:rPr>
        <w:footnoteRef/>
      </w:r>
      <w:r>
        <w:t xml:space="preserve"> </w:t>
      </w:r>
      <w:hyperlink r:id="rId5" w:history="1">
        <w:r w:rsidRPr="009E2753">
          <w:rPr>
            <w:rStyle w:val="Hyperlink"/>
          </w:rPr>
          <w:t>http://wp.lancs.ac.uk/cedr/files/2016/10/7_day_report_digital-1.pdf</w:t>
        </w:r>
      </w:hyperlink>
      <w:r>
        <w:t xml:space="preserve"> </w:t>
      </w:r>
    </w:p>
  </w:footnote>
  <w:footnote w:id="5">
    <w:p w14:paraId="2BD56071" w14:textId="3E6FEDF5" w:rsidR="00F06042" w:rsidRDefault="00F06042" w:rsidP="000F0BEC">
      <w:pPr>
        <w:pStyle w:val="FootnoteText"/>
      </w:pPr>
      <w:r>
        <w:rPr>
          <w:rStyle w:val="FootnoteReference"/>
        </w:rPr>
        <w:footnoteRef/>
      </w:r>
      <w:r>
        <w:t xml:space="preserve"> </w:t>
      </w:r>
      <w:hyperlink r:id="rId6" w:history="1">
        <w:r w:rsidRPr="009E2753">
          <w:rPr>
            <w:rStyle w:val="Hyperlink"/>
          </w:rPr>
          <w:t>http://wp.lancs.ac.uk/cedr/7daysofaction2017/</w:t>
        </w:r>
      </w:hyperlink>
      <w:r>
        <w:t xml:space="preserve"> </w:t>
      </w:r>
    </w:p>
  </w:footnote>
  <w:footnote w:id="6">
    <w:p w14:paraId="42DB17B0" w14:textId="420F5EE7" w:rsidR="00F06042" w:rsidRDefault="00F06042" w:rsidP="000F0BEC">
      <w:pPr>
        <w:pStyle w:val="FootnoteText"/>
      </w:pPr>
      <w:r>
        <w:rPr>
          <w:rStyle w:val="FootnoteReference"/>
        </w:rPr>
        <w:footnoteRef/>
      </w:r>
      <w:hyperlink r:id="rId7" w:history="1">
        <w:r w:rsidRPr="009E2753">
          <w:rPr>
            <w:rStyle w:val="Hyperlink"/>
          </w:rPr>
          <w:t>https://webarchive.nationalarchives.gov.uk/20130124041359/http://www.dh.gov.uk/prod_consum_dh/groups/dh_digitalassets/@dh/@en/documents/digitalasset/dh_080128.pdf</w:t>
        </w:r>
      </w:hyperlink>
      <w:r>
        <w:t xml:space="preserve"> </w:t>
      </w:r>
    </w:p>
  </w:footnote>
  <w:footnote w:id="7">
    <w:p w14:paraId="62775003" w14:textId="77777777" w:rsidR="00F06042" w:rsidRDefault="00F06042" w:rsidP="000F0BEC">
      <w:pPr>
        <w:pStyle w:val="FootnoteText"/>
      </w:pPr>
      <w:r>
        <w:rPr>
          <w:rStyle w:val="FootnoteReference"/>
        </w:rPr>
        <w:footnoteRef/>
      </w:r>
      <w:r>
        <w:t xml:space="preserve"> </w:t>
      </w:r>
      <w:hyperlink r:id="rId8" w:history="1">
        <w:r w:rsidRPr="009E2753">
          <w:rPr>
            <w:rStyle w:val="Hyperlink"/>
          </w:rPr>
          <w:t>https://www.nao.org.uk/report/care-services-for-people-with-learning-disabilities-and-challenging-behaviour/</w:t>
        </w:r>
      </w:hyperlink>
      <w:r>
        <w:t xml:space="preserve"> </w:t>
      </w:r>
    </w:p>
  </w:footnote>
  <w:footnote w:id="8">
    <w:p w14:paraId="45ABE431" w14:textId="6F0B64E5" w:rsidR="008B2750" w:rsidRDefault="008B2750">
      <w:pPr>
        <w:pStyle w:val="FootnoteText"/>
      </w:pPr>
      <w:r>
        <w:rPr>
          <w:rStyle w:val="FootnoteReference"/>
        </w:rPr>
        <w:footnoteRef/>
      </w:r>
      <w:r>
        <w:t xml:space="preserve"> </w:t>
      </w:r>
      <w:hyperlink r:id="rId9" w:history="1">
        <w:r>
          <w:rPr>
            <w:rStyle w:val="Hyperlink"/>
          </w:rPr>
          <w:t>https://www.england.nhs.uk/wp-content/uploads/2015/10/ld-nat-imp-plan-oct15.pdf</w:t>
        </w:r>
      </w:hyperlink>
    </w:p>
  </w:footnote>
  <w:footnote w:id="9">
    <w:p w14:paraId="0ECDB66A" w14:textId="2D435956" w:rsidR="00F06042" w:rsidRDefault="00F06042" w:rsidP="000F0BEC">
      <w:pPr>
        <w:pStyle w:val="FootnoteText"/>
      </w:pPr>
      <w:r>
        <w:rPr>
          <w:rStyle w:val="FootnoteReference"/>
        </w:rPr>
        <w:footnoteRef/>
      </w:r>
      <w:r>
        <w:t xml:space="preserve"> </w:t>
      </w:r>
      <w:hyperlink r:id="rId10" w:history="1">
        <w:r w:rsidRPr="009E2753">
          <w:rPr>
            <w:rStyle w:val="Hyperlink"/>
          </w:rPr>
          <w:t>https://www.england.nhs.uk/learning-disabilities/care/</w:t>
        </w:r>
      </w:hyperlink>
      <w:r>
        <w:t xml:space="preserve"> </w:t>
      </w:r>
    </w:p>
  </w:footnote>
  <w:footnote w:id="10">
    <w:p w14:paraId="7146D815" w14:textId="15514502" w:rsidR="00F06042" w:rsidRDefault="00F06042" w:rsidP="000F0BEC">
      <w:pPr>
        <w:pStyle w:val="FootnoteText"/>
      </w:pPr>
      <w:r>
        <w:rPr>
          <w:rStyle w:val="FootnoteReference"/>
        </w:rPr>
        <w:footnoteRef/>
      </w:r>
      <w:r>
        <w:t xml:space="preserve"> </w:t>
      </w:r>
      <w:hyperlink r:id="rId11" w:history="1">
        <w:r w:rsidRPr="009E2753">
          <w:rPr>
            <w:rStyle w:val="Hyperlink"/>
          </w:rPr>
          <w:t>https://www.england.nhs.uk/learning-disabilities/tcp/</w:t>
        </w:r>
      </w:hyperlink>
      <w:r>
        <w:t xml:space="preserve"> </w:t>
      </w:r>
    </w:p>
  </w:footnote>
  <w:footnote w:id="11">
    <w:p w14:paraId="50A75682" w14:textId="04DC3909" w:rsidR="00F06042" w:rsidRDefault="00F06042" w:rsidP="000F0BEC">
      <w:pPr>
        <w:pStyle w:val="FootnoteText"/>
      </w:pPr>
      <w:r>
        <w:rPr>
          <w:rStyle w:val="FootnoteReference"/>
        </w:rPr>
        <w:footnoteRef/>
      </w:r>
      <w:r>
        <w:t xml:space="preserve"> </w:t>
      </w:r>
      <w:hyperlink r:id="rId12" w:history="1">
        <w:r w:rsidRPr="009E2753">
          <w:rPr>
            <w:rStyle w:val="Hyperlink"/>
          </w:rPr>
          <w:t>https://www.nao.org.uk/wp-content/uploads/2017/03/Local-support-for-people-with-a-learning-disability.pdf</w:t>
        </w:r>
      </w:hyperlink>
      <w:r>
        <w:t xml:space="preserve"> </w:t>
      </w:r>
    </w:p>
  </w:footnote>
  <w:footnote w:id="12">
    <w:p w14:paraId="02177683" w14:textId="67C18AD4" w:rsidR="00F06042" w:rsidRDefault="00F06042" w:rsidP="000F0BEC">
      <w:pPr>
        <w:pStyle w:val="FootnoteText"/>
      </w:pPr>
      <w:r>
        <w:rPr>
          <w:rStyle w:val="FootnoteReference"/>
        </w:rPr>
        <w:footnoteRef/>
      </w:r>
      <w:r>
        <w:t xml:space="preserve"> </w:t>
      </w:r>
      <w:r w:rsidRPr="00B32F68">
        <w:t>It is unclear why</w:t>
      </w:r>
      <w:r>
        <w:t xml:space="preserve"> in the 2017 report</w:t>
      </w:r>
      <w:r w:rsidRPr="00B32F68">
        <w:t xml:space="preserve"> the NAO used 2,835 as the baseline from which to calculate the 11% reduction, given the figure of 2,600 which was</w:t>
      </w:r>
      <w:r>
        <w:t xml:space="preserve"> previously</w:t>
      </w:r>
      <w:r w:rsidRPr="00B32F68">
        <w:t xml:space="preserve"> </w:t>
      </w:r>
      <w:r>
        <w:t>reported</w:t>
      </w:r>
      <w:r w:rsidRPr="00B32F68">
        <w:t xml:space="preserve"> by the NAO in </w:t>
      </w:r>
      <w:r>
        <w:t xml:space="preserve">their </w:t>
      </w:r>
      <w:r w:rsidRPr="00B32F68">
        <w:t>2015 report</w:t>
      </w:r>
      <w:r>
        <w:t xml:space="preserve"> on the Transforming Care Programme</w:t>
      </w:r>
      <w:r w:rsidRPr="00B32F68">
        <w:t>.  If the baseline of 2,600 had been used, the reduction would be 3.5%</w:t>
      </w:r>
      <w:r>
        <w:t xml:space="preserve"> rather than the 11% reduction claimed.</w:t>
      </w:r>
    </w:p>
  </w:footnote>
  <w:footnote w:id="13">
    <w:p w14:paraId="6DF24149" w14:textId="473EA054" w:rsidR="00F06042" w:rsidRDefault="00F06042" w:rsidP="000F0BEC">
      <w:pPr>
        <w:pStyle w:val="FootnoteText"/>
      </w:pPr>
      <w:r>
        <w:rPr>
          <w:rStyle w:val="FootnoteReference"/>
        </w:rPr>
        <w:footnoteRef/>
      </w:r>
      <w:r>
        <w:t xml:space="preserve"> </w:t>
      </w:r>
      <w:hyperlink r:id="rId13" w:history="1">
        <w:r w:rsidRPr="00AF319A">
          <w:rPr>
            <w:rStyle w:val="Hyperlink"/>
          </w:rPr>
          <w:t>https://www.longtermplan.nhs.uk/wp-content/uploads/2019/01/nhs-long-term-plan.pdf</w:t>
        </w:r>
      </w:hyperlink>
      <w:r>
        <w:t xml:space="preserve"> </w:t>
      </w:r>
    </w:p>
  </w:footnote>
  <w:footnote w:id="14">
    <w:p w14:paraId="38125E9C" w14:textId="1BDC32E5" w:rsidR="00F06042" w:rsidRDefault="00F06042" w:rsidP="000F0BEC">
      <w:pPr>
        <w:pStyle w:val="FootnoteText"/>
      </w:pPr>
      <w:r>
        <w:rPr>
          <w:rStyle w:val="FootnoteReference"/>
        </w:rPr>
        <w:footnoteRef/>
      </w:r>
      <w:r>
        <w:t xml:space="preserve"> </w:t>
      </w:r>
      <w:hyperlink r:id="rId14" w:history="1">
        <w:r w:rsidRPr="00F06042">
          <w:rPr>
            <w:rStyle w:val="Hyperlink"/>
          </w:rPr>
          <w:t>https://www.england.nhs.uk/wp-content/uploads/2015/10/service-model-291015.pdf</w:t>
        </w:r>
      </w:hyperlink>
      <w:r>
        <w:t xml:space="preserve"> </w:t>
      </w:r>
    </w:p>
  </w:footnote>
  <w:footnote w:id="15">
    <w:p w14:paraId="61C67C0F" w14:textId="3ABCC008" w:rsidR="00F06042" w:rsidRDefault="00F06042" w:rsidP="000F0BEC">
      <w:pPr>
        <w:pStyle w:val="FootnoteText"/>
      </w:pPr>
      <w:r>
        <w:rPr>
          <w:rStyle w:val="FootnoteReference"/>
        </w:rPr>
        <w:footnoteRef/>
      </w:r>
      <w:r>
        <w:t xml:space="preserve"> </w:t>
      </w:r>
      <w:hyperlink r:id="rId15" w:history="1">
        <w:r w:rsidRPr="000C6C83">
          <w:rPr>
            <w:rStyle w:val="Hyperlink"/>
          </w:rPr>
          <w:t>https://www.england.nhs.uk/learningdisabilities/wp-content/uploads/sites/34/2016/01/finance-qas.pdf</w:t>
        </w:r>
      </w:hyperlink>
      <w:r>
        <w:t xml:space="preserve"> </w:t>
      </w:r>
    </w:p>
  </w:footnote>
  <w:footnote w:id="16">
    <w:p w14:paraId="37012053" w14:textId="77777777" w:rsidR="00F06042" w:rsidRDefault="00F06042" w:rsidP="000F0BEC">
      <w:pPr>
        <w:pStyle w:val="FootnoteText"/>
      </w:pPr>
      <w:r>
        <w:rPr>
          <w:rStyle w:val="FootnoteReference"/>
        </w:rPr>
        <w:footnoteRef/>
      </w:r>
      <w:r>
        <w:t xml:space="preserve"> </w:t>
      </w:r>
      <w:hyperlink r:id="rId16" w:history="1">
        <w:r w:rsidRPr="00AF319A">
          <w:rPr>
            <w:rStyle w:val="Hyperlink"/>
          </w:rPr>
          <w:t>https://www.england.nhs.uk/learning-disabilities/care/ctr/</w:t>
        </w:r>
      </w:hyperlink>
      <w:r>
        <w:t xml:space="preserve"> </w:t>
      </w:r>
    </w:p>
  </w:footnote>
  <w:footnote w:id="17">
    <w:p w14:paraId="07B4F5B8" w14:textId="2F157CE7" w:rsidR="00F06042" w:rsidRDefault="00F06042" w:rsidP="000F0BEC">
      <w:pPr>
        <w:pStyle w:val="FootnoteText"/>
      </w:pPr>
      <w:r>
        <w:rPr>
          <w:rStyle w:val="FootnoteReference"/>
        </w:rPr>
        <w:footnoteRef/>
      </w:r>
      <w:r>
        <w:t xml:space="preserve"> </w:t>
      </w:r>
      <w:hyperlink r:id="rId17" w:history="1">
        <w:r w:rsidRPr="00AF319A">
          <w:rPr>
            <w:rStyle w:val="Hyperlink"/>
          </w:rPr>
          <w:t>https://publications.parliament.uk/pa/cm201617/cmselect/cmpubacc/1038/103805.htm</w:t>
        </w:r>
      </w:hyperlink>
      <w:r>
        <w:t xml:space="preserve"> </w:t>
      </w:r>
    </w:p>
  </w:footnote>
  <w:footnote w:id="18">
    <w:p w14:paraId="13CD89DC" w14:textId="77777777" w:rsidR="00F06042" w:rsidRDefault="00F06042" w:rsidP="000F0BEC">
      <w:pPr>
        <w:pStyle w:val="FootnoteText"/>
      </w:pPr>
      <w:r>
        <w:rPr>
          <w:rStyle w:val="FootnoteReference"/>
        </w:rPr>
        <w:footnoteRef/>
      </w:r>
      <w:r>
        <w:t xml:space="preserve"> </w:t>
      </w:r>
      <w:hyperlink r:id="rId18" w:history="1">
        <w:r w:rsidRPr="00AF319A">
          <w:rPr>
            <w:rStyle w:val="Hyperlink"/>
          </w:rPr>
          <w:t>https://digital.nhs.uk/data-and-information/publications/statistical/learning-disability-services-statistics/learning-disability-statistics-annual-overview-england-2015-2016</w:t>
        </w:r>
      </w:hyperlink>
      <w:r>
        <w:t xml:space="preserve"> </w:t>
      </w:r>
    </w:p>
  </w:footnote>
  <w:footnote w:id="19">
    <w:p w14:paraId="191457BF" w14:textId="01C97EF9" w:rsidR="00F06042" w:rsidRDefault="00F06042" w:rsidP="000F0BEC">
      <w:pPr>
        <w:pStyle w:val="FootnoteText"/>
      </w:pPr>
      <w:r>
        <w:rPr>
          <w:rStyle w:val="FootnoteReference"/>
        </w:rPr>
        <w:footnoteRef/>
      </w:r>
      <w:r>
        <w:t xml:space="preserve"> </w:t>
      </w:r>
      <w:hyperlink r:id="rId19" w:history="1">
        <w:r w:rsidRPr="00AF319A">
          <w:rPr>
            <w:rStyle w:val="Hyperlink"/>
          </w:rPr>
          <w:t>https://digital.nhs.uk/data-and-information/data-collections-and-data-sets/data-sets/mental-health-services-data-set/mental-health-and-learning-disabilities-statistics-mhlds-monthly-reports</w:t>
        </w:r>
      </w:hyperlink>
      <w:r>
        <w:t xml:space="preserve"> </w:t>
      </w:r>
    </w:p>
  </w:footnote>
  <w:footnote w:id="20">
    <w:p w14:paraId="7F747610" w14:textId="77777777" w:rsidR="00F06042" w:rsidRDefault="00F06042" w:rsidP="000F0BEC">
      <w:pPr>
        <w:pStyle w:val="FootnoteText"/>
      </w:pPr>
      <w:r>
        <w:rPr>
          <w:rStyle w:val="FootnoteReference"/>
        </w:rPr>
        <w:footnoteRef/>
      </w:r>
      <w:r>
        <w:t xml:space="preserve"> </w:t>
      </w:r>
      <w:hyperlink r:id="rId20" w:history="1">
        <w:r w:rsidRPr="00AF319A">
          <w:rPr>
            <w:rStyle w:val="Hyperlink"/>
          </w:rPr>
          <w:t>https://digital.nhs.uk/data-and-information/publications/statistical/learning-disability-services-statistics/provisional-statistics-at-january-2019-mhsds-november-2018-final</w:t>
        </w:r>
      </w:hyperlink>
      <w:r>
        <w:t xml:space="preserve"> </w:t>
      </w:r>
    </w:p>
  </w:footnote>
  <w:footnote w:id="21">
    <w:p w14:paraId="5A3FFB72" w14:textId="3297DCE4" w:rsidR="00F06042" w:rsidRDefault="00F06042" w:rsidP="000F0BEC">
      <w:pPr>
        <w:pStyle w:val="FootnoteText"/>
      </w:pPr>
      <w:r>
        <w:rPr>
          <w:rStyle w:val="FootnoteReference"/>
        </w:rPr>
        <w:footnoteRef/>
      </w:r>
      <w:r>
        <w:t xml:space="preserve"> </w:t>
      </w:r>
      <w:hyperlink r:id="rId21" w:history="1">
        <w:r w:rsidRPr="00AF319A">
          <w:rPr>
            <w:rStyle w:val="Hyperlink"/>
          </w:rPr>
          <w:t>https://www.emeraldinsight.com/doi/abs/10.1108/TLDR-02-2017-0010</w:t>
        </w:r>
      </w:hyperlink>
      <w:r>
        <w:t xml:space="preserve"> </w:t>
      </w:r>
    </w:p>
  </w:footnote>
  <w:footnote w:id="22">
    <w:p w14:paraId="7FDB0AE9" w14:textId="77777777" w:rsidR="00F06042" w:rsidRDefault="00F06042" w:rsidP="000F0BEC">
      <w:pPr>
        <w:pStyle w:val="FootnoteText"/>
      </w:pPr>
      <w:r>
        <w:rPr>
          <w:rStyle w:val="FootnoteReference"/>
        </w:rPr>
        <w:footnoteRef/>
      </w:r>
      <w:r>
        <w:t xml:space="preserve"> MHSDS </w:t>
      </w:r>
      <w:r w:rsidRPr="00977F51">
        <w:t>LDA 45 - Hospital spells open at the end of the RP</w:t>
      </w:r>
    </w:p>
  </w:footnote>
  <w:footnote w:id="23">
    <w:p w14:paraId="73E00DAE" w14:textId="77777777" w:rsidR="00F06042" w:rsidRDefault="00F06042" w:rsidP="000F0BEC">
      <w:pPr>
        <w:pStyle w:val="FootnoteText"/>
      </w:pPr>
      <w:r>
        <w:rPr>
          <w:rStyle w:val="FootnoteReference"/>
        </w:rPr>
        <w:footnoteRef/>
      </w:r>
      <w:r>
        <w:t xml:space="preserve"> </w:t>
      </w:r>
      <w:hyperlink r:id="rId22" w:history="1">
        <w:r w:rsidRPr="009E2753">
          <w:rPr>
            <w:rStyle w:val="Hyperlink"/>
          </w:rPr>
          <w:t>https://www.emeraldinsight.com/doi/full/10.1108/TLDR-02-2017-0010</w:t>
        </w:r>
      </w:hyperlink>
      <w:r>
        <w:t xml:space="preserve"> </w:t>
      </w:r>
    </w:p>
  </w:footnote>
  <w:footnote w:id="24">
    <w:p w14:paraId="40A1AF53" w14:textId="77777777" w:rsidR="00F06042" w:rsidRDefault="00F06042" w:rsidP="000F0BEC">
      <w:pPr>
        <w:pStyle w:val="FootnoteText"/>
      </w:pPr>
      <w:r>
        <w:rPr>
          <w:rStyle w:val="FootnoteReference"/>
        </w:rPr>
        <w:footnoteRef/>
      </w:r>
      <w:r>
        <w:t xml:space="preserve"> Data taken from KH03 collection from all NHS organisations that operate consultant-led beds open overnight or day only. Changes to the way data is collected mean only Q4 data provided from 2010/11. More information:</w:t>
      </w:r>
      <w:r w:rsidRPr="001B45AE">
        <w:t xml:space="preserve"> </w:t>
      </w:r>
      <w:hyperlink r:id="rId23" w:history="1">
        <w:r w:rsidRPr="009E2753">
          <w:rPr>
            <w:rStyle w:val="Hyperlink"/>
          </w:rPr>
          <w:t>https://www.england.nhs.uk/statistics/statistical-work-areas/bed-availability-and-occupancy/</w:t>
        </w:r>
      </w:hyperlink>
      <w:r>
        <w:t xml:space="preserve"> </w:t>
      </w:r>
    </w:p>
  </w:footnote>
  <w:footnote w:id="25">
    <w:p w14:paraId="0DEC154F" w14:textId="77777777" w:rsidR="00F06042" w:rsidRDefault="00F06042" w:rsidP="000F0BEC">
      <w:pPr>
        <w:pStyle w:val="FootnoteText"/>
      </w:pPr>
      <w:r>
        <w:rPr>
          <w:rStyle w:val="FootnoteReference"/>
        </w:rPr>
        <w:footnoteRef/>
      </w:r>
      <w:r>
        <w:t xml:space="preserve"> </w:t>
      </w:r>
      <w:hyperlink r:id="rId24" w:history="1">
        <w:r w:rsidRPr="009E2753">
          <w:rPr>
            <w:rStyle w:val="Hyperlink"/>
          </w:rPr>
          <w:t>https://www.england.nhs.uk/statistics/statistical-work-areas/bed-availability-and-occupancy/bed-data-overnight/</w:t>
        </w:r>
      </w:hyperlink>
      <w:r>
        <w:t xml:space="preserve"> </w:t>
      </w:r>
    </w:p>
  </w:footnote>
  <w:footnote w:id="26">
    <w:p w14:paraId="7D2A0A70" w14:textId="77777777" w:rsidR="00F06042" w:rsidRPr="00155613" w:rsidRDefault="00F06042" w:rsidP="000F0BEC">
      <w:pPr>
        <w:pStyle w:val="Caption"/>
      </w:pPr>
      <w:r w:rsidRPr="00155613">
        <w:rPr>
          <w:rStyle w:val="FootnoteReference"/>
          <w:i w:val="0"/>
        </w:rPr>
        <w:footnoteRef/>
      </w:r>
      <w:r w:rsidRPr="00155613">
        <w:t xml:space="preserve"> </w:t>
      </w:r>
      <w:r w:rsidRPr="00155613">
        <w:rPr>
          <w:rStyle w:val="Hyperlink"/>
          <w:i w:val="0"/>
          <w:sz w:val="20"/>
          <w:szCs w:val="20"/>
        </w:rPr>
        <w:t>http://wp.lancs.ac.uk/cedr/files/2017/06/A-Trade-in-People-CeDR-2017-1.pdf .</w:t>
      </w:r>
    </w:p>
  </w:footnote>
  <w:footnote w:id="27">
    <w:p w14:paraId="1FF84F92" w14:textId="68580036" w:rsidR="00F06042" w:rsidRDefault="00F06042" w:rsidP="000F0BEC">
      <w:pPr>
        <w:pStyle w:val="FootnoteText"/>
      </w:pPr>
      <w:r>
        <w:rPr>
          <w:rStyle w:val="FootnoteReference"/>
        </w:rPr>
        <w:footnoteRef/>
      </w:r>
      <w:hyperlink r:id="rId25" w:history="1">
        <w:r w:rsidRPr="003C73C0">
          <w:rPr>
            <w:rStyle w:val="Hyperlink"/>
          </w:rPr>
          <w:t>https://www.ons.gov.uk/peoplepopulationandcommunity/populationandmigration/populationestimates/articles/overviewoftheukpopulation/july2017</w:t>
        </w:r>
      </w:hyperlink>
      <w:r>
        <w:t xml:space="preserve">   </w:t>
      </w:r>
    </w:p>
  </w:footnote>
  <w:footnote w:id="28">
    <w:p w14:paraId="5A6392B2" w14:textId="1F19349A" w:rsidR="00F06042" w:rsidRDefault="00F06042" w:rsidP="000F0BEC">
      <w:pPr>
        <w:pStyle w:val="FootnoteText"/>
      </w:pPr>
      <w:r>
        <w:rPr>
          <w:rStyle w:val="FootnoteReference"/>
        </w:rPr>
        <w:footnoteRef/>
      </w:r>
      <w:r>
        <w:t xml:space="preserve"> </w:t>
      </w:r>
      <w:hyperlink r:id="rId26" w:history="1">
        <w:r w:rsidRPr="000C6C83">
          <w:rPr>
            <w:rStyle w:val="Hyperlink"/>
          </w:rPr>
          <w:t>https://www.england.nhs.uk/wp-content/uploads/2015/10/ld-nat-imp-plan-oct15.pdf</w:t>
        </w:r>
      </w:hyperlink>
      <w:r>
        <w:t xml:space="preserve"> </w:t>
      </w:r>
    </w:p>
  </w:footnote>
  <w:footnote w:id="29">
    <w:p w14:paraId="309978E3" w14:textId="15345F88" w:rsidR="00F06042" w:rsidRDefault="00F06042" w:rsidP="000F0BEC">
      <w:pPr>
        <w:pStyle w:val="FootnoteText"/>
      </w:pPr>
      <w:r>
        <w:rPr>
          <w:rStyle w:val="FootnoteReference"/>
        </w:rPr>
        <w:footnoteRef/>
      </w:r>
      <w:r>
        <w:t xml:space="preserve"> </w:t>
      </w:r>
      <w:hyperlink r:id="rId27" w:history="1">
        <w:r w:rsidRPr="000C6C83">
          <w:rPr>
            <w:rStyle w:val="Hyperlink"/>
          </w:rPr>
          <w:t>http://wp.lancs.ac.uk/cedr/files/2016/10/7_day_report_digital-1.pdf</w:t>
        </w:r>
      </w:hyperlink>
      <w:r>
        <w:t xml:space="preserve"> </w:t>
      </w:r>
    </w:p>
  </w:footnote>
  <w:footnote w:id="30">
    <w:p w14:paraId="32C08385" w14:textId="5FBBFCA5" w:rsidR="00F06042" w:rsidRPr="00AF3856" w:rsidRDefault="00F06042" w:rsidP="000F0BEC">
      <w:pPr>
        <w:pStyle w:val="FootnoteText"/>
        <w:rPr>
          <w:color w:val="0000FF" w:themeColor="hyperlink"/>
          <w:u w:val="single"/>
        </w:rPr>
      </w:pPr>
      <w:r>
        <w:rPr>
          <w:rStyle w:val="FootnoteReference"/>
        </w:rPr>
        <w:footnoteRef/>
      </w:r>
      <w:r>
        <w:t xml:space="preserve"> </w:t>
      </w:r>
      <w:r w:rsidRPr="00BE3A56">
        <w:t>CQC database of registered providers extract</w:t>
      </w:r>
      <w:r>
        <w:t xml:space="preserve"> accessed</w:t>
      </w:r>
      <w:r w:rsidRPr="00BE3A56">
        <w:t xml:space="preserve">, </w:t>
      </w:r>
      <w:hyperlink r:id="rId28" w:history="1">
        <w:r w:rsidRPr="00AF3856">
          <w:rPr>
            <w:rStyle w:val="Hyperlink"/>
            <w:lang w:val="en-US"/>
          </w:rPr>
          <w:t>https://www.cqc.org.uk/file/258838</w:t>
        </w:r>
      </w:hyperlink>
      <w:r>
        <w:rPr>
          <w:color w:val="0000FF" w:themeColor="hyperlink"/>
          <w:u w:val="single"/>
        </w:rPr>
        <w:t xml:space="preserve"> </w:t>
      </w:r>
      <w:r>
        <w:t>1 March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D2063" w14:textId="77777777" w:rsidR="00F06042" w:rsidRDefault="00F06042" w:rsidP="000F0BEC">
    <w:pPr>
      <w:pStyle w:val="Header"/>
    </w:pPr>
  </w:p>
  <w:p w14:paraId="6C202B29" w14:textId="77777777" w:rsidR="00F06042" w:rsidRDefault="00F06042" w:rsidP="000F0BE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C3A3" w14:textId="77777777" w:rsidR="00F06042" w:rsidRDefault="00F06042" w:rsidP="000F0BEC">
    <w:pPr>
      <w:pStyle w:val="Header"/>
    </w:pPr>
  </w:p>
  <w:p w14:paraId="2AC6112B" w14:textId="77777777" w:rsidR="00F06042" w:rsidRDefault="00F06042" w:rsidP="000F0BE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3EA"/>
    <w:multiLevelType w:val="multilevel"/>
    <w:tmpl w:val="EA48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07916"/>
    <w:multiLevelType w:val="hybridMultilevel"/>
    <w:tmpl w:val="4112C6BC"/>
    <w:lvl w:ilvl="0" w:tplc="D0AC11A2">
      <w:start w:val="1"/>
      <w:numFmt w:val="bullet"/>
      <w:lvlText w:val="•"/>
      <w:lvlJc w:val="left"/>
      <w:pPr>
        <w:tabs>
          <w:tab w:val="num" w:pos="720"/>
        </w:tabs>
        <w:ind w:left="720" w:hanging="360"/>
      </w:pPr>
      <w:rPr>
        <w:rFonts w:ascii="Arial" w:hAnsi="Arial" w:hint="default"/>
      </w:rPr>
    </w:lvl>
    <w:lvl w:ilvl="1" w:tplc="B3C0717C" w:tentative="1">
      <w:start w:val="1"/>
      <w:numFmt w:val="bullet"/>
      <w:lvlText w:val="•"/>
      <w:lvlJc w:val="left"/>
      <w:pPr>
        <w:tabs>
          <w:tab w:val="num" w:pos="1440"/>
        </w:tabs>
        <w:ind w:left="1440" w:hanging="360"/>
      </w:pPr>
      <w:rPr>
        <w:rFonts w:ascii="Arial" w:hAnsi="Arial" w:hint="default"/>
      </w:rPr>
    </w:lvl>
    <w:lvl w:ilvl="2" w:tplc="2C9CB0EE" w:tentative="1">
      <w:start w:val="1"/>
      <w:numFmt w:val="bullet"/>
      <w:lvlText w:val="•"/>
      <w:lvlJc w:val="left"/>
      <w:pPr>
        <w:tabs>
          <w:tab w:val="num" w:pos="2160"/>
        </w:tabs>
        <w:ind w:left="2160" w:hanging="360"/>
      </w:pPr>
      <w:rPr>
        <w:rFonts w:ascii="Arial" w:hAnsi="Arial" w:hint="default"/>
      </w:rPr>
    </w:lvl>
    <w:lvl w:ilvl="3" w:tplc="36244B46" w:tentative="1">
      <w:start w:val="1"/>
      <w:numFmt w:val="bullet"/>
      <w:lvlText w:val="•"/>
      <w:lvlJc w:val="left"/>
      <w:pPr>
        <w:tabs>
          <w:tab w:val="num" w:pos="2880"/>
        </w:tabs>
        <w:ind w:left="2880" w:hanging="360"/>
      </w:pPr>
      <w:rPr>
        <w:rFonts w:ascii="Arial" w:hAnsi="Arial" w:hint="default"/>
      </w:rPr>
    </w:lvl>
    <w:lvl w:ilvl="4" w:tplc="277077D8" w:tentative="1">
      <w:start w:val="1"/>
      <w:numFmt w:val="bullet"/>
      <w:lvlText w:val="•"/>
      <w:lvlJc w:val="left"/>
      <w:pPr>
        <w:tabs>
          <w:tab w:val="num" w:pos="3600"/>
        </w:tabs>
        <w:ind w:left="3600" w:hanging="360"/>
      </w:pPr>
      <w:rPr>
        <w:rFonts w:ascii="Arial" w:hAnsi="Arial" w:hint="default"/>
      </w:rPr>
    </w:lvl>
    <w:lvl w:ilvl="5" w:tplc="1F7C1958" w:tentative="1">
      <w:start w:val="1"/>
      <w:numFmt w:val="bullet"/>
      <w:lvlText w:val="•"/>
      <w:lvlJc w:val="left"/>
      <w:pPr>
        <w:tabs>
          <w:tab w:val="num" w:pos="4320"/>
        </w:tabs>
        <w:ind w:left="4320" w:hanging="360"/>
      </w:pPr>
      <w:rPr>
        <w:rFonts w:ascii="Arial" w:hAnsi="Arial" w:hint="default"/>
      </w:rPr>
    </w:lvl>
    <w:lvl w:ilvl="6" w:tplc="A3B840EE" w:tentative="1">
      <w:start w:val="1"/>
      <w:numFmt w:val="bullet"/>
      <w:lvlText w:val="•"/>
      <w:lvlJc w:val="left"/>
      <w:pPr>
        <w:tabs>
          <w:tab w:val="num" w:pos="5040"/>
        </w:tabs>
        <w:ind w:left="5040" w:hanging="360"/>
      </w:pPr>
      <w:rPr>
        <w:rFonts w:ascii="Arial" w:hAnsi="Arial" w:hint="default"/>
      </w:rPr>
    </w:lvl>
    <w:lvl w:ilvl="7" w:tplc="67520CCE" w:tentative="1">
      <w:start w:val="1"/>
      <w:numFmt w:val="bullet"/>
      <w:lvlText w:val="•"/>
      <w:lvlJc w:val="left"/>
      <w:pPr>
        <w:tabs>
          <w:tab w:val="num" w:pos="5760"/>
        </w:tabs>
        <w:ind w:left="5760" w:hanging="360"/>
      </w:pPr>
      <w:rPr>
        <w:rFonts w:ascii="Arial" w:hAnsi="Arial" w:hint="default"/>
      </w:rPr>
    </w:lvl>
    <w:lvl w:ilvl="8" w:tplc="8E7E19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357BFB"/>
    <w:multiLevelType w:val="hybridMultilevel"/>
    <w:tmpl w:val="34341C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6D632C6"/>
    <w:multiLevelType w:val="hybridMultilevel"/>
    <w:tmpl w:val="81BA4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D14F41"/>
    <w:multiLevelType w:val="hybridMultilevel"/>
    <w:tmpl w:val="86E4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C327B"/>
    <w:multiLevelType w:val="hybridMultilevel"/>
    <w:tmpl w:val="BD72739C"/>
    <w:lvl w:ilvl="0" w:tplc="2940E292">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04AFC"/>
    <w:multiLevelType w:val="multilevel"/>
    <w:tmpl w:val="DF94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C3B7A"/>
    <w:multiLevelType w:val="hybridMultilevel"/>
    <w:tmpl w:val="CE86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A210A"/>
    <w:multiLevelType w:val="hybridMultilevel"/>
    <w:tmpl w:val="6742E9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37679"/>
    <w:multiLevelType w:val="hybridMultilevel"/>
    <w:tmpl w:val="817265C8"/>
    <w:lvl w:ilvl="0" w:tplc="45BA3E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77E8B"/>
    <w:multiLevelType w:val="hybridMultilevel"/>
    <w:tmpl w:val="027EF6CC"/>
    <w:lvl w:ilvl="0" w:tplc="2940E292">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05AAD"/>
    <w:multiLevelType w:val="hybridMultilevel"/>
    <w:tmpl w:val="C51A1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D2A14"/>
    <w:multiLevelType w:val="hybridMultilevel"/>
    <w:tmpl w:val="D8E2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537C5"/>
    <w:multiLevelType w:val="hybridMultilevel"/>
    <w:tmpl w:val="7C425EEC"/>
    <w:lvl w:ilvl="0" w:tplc="2940E292">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3655A"/>
    <w:multiLevelType w:val="hybridMultilevel"/>
    <w:tmpl w:val="E2C2B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9C62C9"/>
    <w:multiLevelType w:val="hybridMultilevel"/>
    <w:tmpl w:val="80E8CECA"/>
    <w:lvl w:ilvl="0" w:tplc="2940E292">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34032"/>
    <w:multiLevelType w:val="hybridMultilevel"/>
    <w:tmpl w:val="11F4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682C"/>
    <w:multiLevelType w:val="hybridMultilevel"/>
    <w:tmpl w:val="7452CEF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3D9A74E6"/>
    <w:multiLevelType w:val="multilevel"/>
    <w:tmpl w:val="DF46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2F2D24"/>
    <w:multiLevelType w:val="hybridMultilevel"/>
    <w:tmpl w:val="0034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B130E"/>
    <w:multiLevelType w:val="hybridMultilevel"/>
    <w:tmpl w:val="513CF688"/>
    <w:lvl w:ilvl="0" w:tplc="87625FAE">
      <w:start w:val="1"/>
      <w:numFmt w:val="bullet"/>
      <w:lvlText w:val="•"/>
      <w:lvlJc w:val="left"/>
      <w:pPr>
        <w:tabs>
          <w:tab w:val="num" w:pos="720"/>
        </w:tabs>
        <w:ind w:left="720" w:hanging="360"/>
      </w:pPr>
      <w:rPr>
        <w:rFonts w:ascii="Arial" w:hAnsi="Arial" w:hint="default"/>
      </w:rPr>
    </w:lvl>
    <w:lvl w:ilvl="1" w:tplc="028AA82A" w:tentative="1">
      <w:start w:val="1"/>
      <w:numFmt w:val="bullet"/>
      <w:lvlText w:val="•"/>
      <w:lvlJc w:val="left"/>
      <w:pPr>
        <w:tabs>
          <w:tab w:val="num" w:pos="1440"/>
        </w:tabs>
        <w:ind w:left="1440" w:hanging="360"/>
      </w:pPr>
      <w:rPr>
        <w:rFonts w:ascii="Arial" w:hAnsi="Arial" w:hint="default"/>
      </w:rPr>
    </w:lvl>
    <w:lvl w:ilvl="2" w:tplc="F34A1974" w:tentative="1">
      <w:start w:val="1"/>
      <w:numFmt w:val="bullet"/>
      <w:lvlText w:val="•"/>
      <w:lvlJc w:val="left"/>
      <w:pPr>
        <w:tabs>
          <w:tab w:val="num" w:pos="2160"/>
        </w:tabs>
        <w:ind w:left="2160" w:hanging="360"/>
      </w:pPr>
      <w:rPr>
        <w:rFonts w:ascii="Arial" w:hAnsi="Arial" w:hint="default"/>
      </w:rPr>
    </w:lvl>
    <w:lvl w:ilvl="3" w:tplc="E7844AB4" w:tentative="1">
      <w:start w:val="1"/>
      <w:numFmt w:val="bullet"/>
      <w:lvlText w:val="•"/>
      <w:lvlJc w:val="left"/>
      <w:pPr>
        <w:tabs>
          <w:tab w:val="num" w:pos="2880"/>
        </w:tabs>
        <w:ind w:left="2880" w:hanging="360"/>
      </w:pPr>
      <w:rPr>
        <w:rFonts w:ascii="Arial" w:hAnsi="Arial" w:hint="default"/>
      </w:rPr>
    </w:lvl>
    <w:lvl w:ilvl="4" w:tplc="6EDC6ACC" w:tentative="1">
      <w:start w:val="1"/>
      <w:numFmt w:val="bullet"/>
      <w:lvlText w:val="•"/>
      <w:lvlJc w:val="left"/>
      <w:pPr>
        <w:tabs>
          <w:tab w:val="num" w:pos="3600"/>
        </w:tabs>
        <w:ind w:left="3600" w:hanging="360"/>
      </w:pPr>
      <w:rPr>
        <w:rFonts w:ascii="Arial" w:hAnsi="Arial" w:hint="default"/>
      </w:rPr>
    </w:lvl>
    <w:lvl w:ilvl="5" w:tplc="A27CEED4" w:tentative="1">
      <w:start w:val="1"/>
      <w:numFmt w:val="bullet"/>
      <w:lvlText w:val="•"/>
      <w:lvlJc w:val="left"/>
      <w:pPr>
        <w:tabs>
          <w:tab w:val="num" w:pos="4320"/>
        </w:tabs>
        <w:ind w:left="4320" w:hanging="360"/>
      </w:pPr>
      <w:rPr>
        <w:rFonts w:ascii="Arial" w:hAnsi="Arial" w:hint="default"/>
      </w:rPr>
    </w:lvl>
    <w:lvl w:ilvl="6" w:tplc="CBF64BDC" w:tentative="1">
      <w:start w:val="1"/>
      <w:numFmt w:val="bullet"/>
      <w:lvlText w:val="•"/>
      <w:lvlJc w:val="left"/>
      <w:pPr>
        <w:tabs>
          <w:tab w:val="num" w:pos="5040"/>
        </w:tabs>
        <w:ind w:left="5040" w:hanging="360"/>
      </w:pPr>
      <w:rPr>
        <w:rFonts w:ascii="Arial" w:hAnsi="Arial" w:hint="default"/>
      </w:rPr>
    </w:lvl>
    <w:lvl w:ilvl="7" w:tplc="BA6AEC52" w:tentative="1">
      <w:start w:val="1"/>
      <w:numFmt w:val="bullet"/>
      <w:lvlText w:val="•"/>
      <w:lvlJc w:val="left"/>
      <w:pPr>
        <w:tabs>
          <w:tab w:val="num" w:pos="5760"/>
        </w:tabs>
        <w:ind w:left="5760" w:hanging="360"/>
      </w:pPr>
      <w:rPr>
        <w:rFonts w:ascii="Arial" w:hAnsi="Arial" w:hint="default"/>
      </w:rPr>
    </w:lvl>
    <w:lvl w:ilvl="8" w:tplc="B2CCB2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0322AE"/>
    <w:multiLevelType w:val="hybridMultilevel"/>
    <w:tmpl w:val="43D83B3E"/>
    <w:lvl w:ilvl="0" w:tplc="2940E292">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F0631"/>
    <w:multiLevelType w:val="hybridMultilevel"/>
    <w:tmpl w:val="5086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D0C14"/>
    <w:multiLevelType w:val="multilevel"/>
    <w:tmpl w:val="28CA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A16DAA"/>
    <w:multiLevelType w:val="hybridMultilevel"/>
    <w:tmpl w:val="DE2282AC"/>
    <w:lvl w:ilvl="0" w:tplc="7E6469E6">
      <w:start w:val="1"/>
      <w:numFmt w:val="bullet"/>
      <w:lvlText w:val="•"/>
      <w:lvlJc w:val="left"/>
      <w:pPr>
        <w:tabs>
          <w:tab w:val="num" w:pos="720"/>
        </w:tabs>
        <w:ind w:left="720" w:hanging="360"/>
      </w:pPr>
      <w:rPr>
        <w:rFonts w:ascii="Arial" w:hAnsi="Arial" w:hint="default"/>
      </w:rPr>
    </w:lvl>
    <w:lvl w:ilvl="1" w:tplc="F434FB76" w:tentative="1">
      <w:start w:val="1"/>
      <w:numFmt w:val="bullet"/>
      <w:lvlText w:val="•"/>
      <w:lvlJc w:val="left"/>
      <w:pPr>
        <w:tabs>
          <w:tab w:val="num" w:pos="1440"/>
        </w:tabs>
        <w:ind w:left="1440" w:hanging="360"/>
      </w:pPr>
      <w:rPr>
        <w:rFonts w:ascii="Arial" w:hAnsi="Arial" w:hint="default"/>
      </w:rPr>
    </w:lvl>
    <w:lvl w:ilvl="2" w:tplc="60342A64" w:tentative="1">
      <w:start w:val="1"/>
      <w:numFmt w:val="bullet"/>
      <w:lvlText w:val="•"/>
      <w:lvlJc w:val="left"/>
      <w:pPr>
        <w:tabs>
          <w:tab w:val="num" w:pos="2160"/>
        </w:tabs>
        <w:ind w:left="2160" w:hanging="360"/>
      </w:pPr>
      <w:rPr>
        <w:rFonts w:ascii="Arial" w:hAnsi="Arial" w:hint="default"/>
      </w:rPr>
    </w:lvl>
    <w:lvl w:ilvl="3" w:tplc="83C0BC70" w:tentative="1">
      <w:start w:val="1"/>
      <w:numFmt w:val="bullet"/>
      <w:lvlText w:val="•"/>
      <w:lvlJc w:val="left"/>
      <w:pPr>
        <w:tabs>
          <w:tab w:val="num" w:pos="2880"/>
        </w:tabs>
        <w:ind w:left="2880" w:hanging="360"/>
      </w:pPr>
      <w:rPr>
        <w:rFonts w:ascii="Arial" w:hAnsi="Arial" w:hint="default"/>
      </w:rPr>
    </w:lvl>
    <w:lvl w:ilvl="4" w:tplc="C77C695C" w:tentative="1">
      <w:start w:val="1"/>
      <w:numFmt w:val="bullet"/>
      <w:lvlText w:val="•"/>
      <w:lvlJc w:val="left"/>
      <w:pPr>
        <w:tabs>
          <w:tab w:val="num" w:pos="3600"/>
        </w:tabs>
        <w:ind w:left="3600" w:hanging="360"/>
      </w:pPr>
      <w:rPr>
        <w:rFonts w:ascii="Arial" w:hAnsi="Arial" w:hint="default"/>
      </w:rPr>
    </w:lvl>
    <w:lvl w:ilvl="5" w:tplc="4B3EF2B0" w:tentative="1">
      <w:start w:val="1"/>
      <w:numFmt w:val="bullet"/>
      <w:lvlText w:val="•"/>
      <w:lvlJc w:val="left"/>
      <w:pPr>
        <w:tabs>
          <w:tab w:val="num" w:pos="4320"/>
        </w:tabs>
        <w:ind w:left="4320" w:hanging="360"/>
      </w:pPr>
      <w:rPr>
        <w:rFonts w:ascii="Arial" w:hAnsi="Arial" w:hint="default"/>
      </w:rPr>
    </w:lvl>
    <w:lvl w:ilvl="6" w:tplc="F76EBF46" w:tentative="1">
      <w:start w:val="1"/>
      <w:numFmt w:val="bullet"/>
      <w:lvlText w:val="•"/>
      <w:lvlJc w:val="left"/>
      <w:pPr>
        <w:tabs>
          <w:tab w:val="num" w:pos="5040"/>
        </w:tabs>
        <w:ind w:left="5040" w:hanging="360"/>
      </w:pPr>
      <w:rPr>
        <w:rFonts w:ascii="Arial" w:hAnsi="Arial" w:hint="default"/>
      </w:rPr>
    </w:lvl>
    <w:lvl w:ilvl="7" w:tplc="618E1CA2" w:tentative="1">
      <w:start w:val="1"/>
      <w:numFmt w:val="bullet"/>
      <w:lvlText w:val="•"/>
      <w:lvlJc w:val="left"/>
      <w:pPr>
        <w:tabs>
          <w:tab w:val="num" w:pos="5760"/>
        </w:tabs>
        <w:ind w:left="5760" w:hanging="360"/>
      </w:pPr>
      <w:rPr>
        <w:rFonts w:ascii="Arial" w:hAnsi="Arial" w:hint="default"/>
      </w:rPr>
    </w:lvl>
    <w:lvl w:ilvl="8" w:tplc="B67C663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B03928"/>
    <w:multiLevelType w:val="multilevel"/>
    <w:tmpl w:val="CF3A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83189"/>
    <w:multiLevelType w:val="hybridMultilevel"/>
    <w:tmpl w:val="3F504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A26154"/>
    <w:multiLevelType w:val="hybridMultilevel"/>
    <w:tmpl w:val="1FE4D94A"/>
    <w:lvl w:ilvl="0" w:tplc="630425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0346A0"/>
    <w:multiLevelType w:val="multilevel"/>
    <w:tmpl w:val="6412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A749EC"/>
    <w:multiLevelType w:val="hybridMultilevel"/>
    <w:tmpl w:val="520E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C20591"/>
    <w:multiLevelType w:val="hybridMultilevel"/>
    <w:tmpl w:val="ACA26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FB521B"/>
    <w:multiLevelType w:val="hybridMultilevel"/>
    <w:tmpl w:val="46AE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04A1E"/>
    <w:multiLevelType w:val="hybridMultilevel"/>
    <w:tmpl w:val="542A3DB0"/>
    <w:lvl w:ilvl="0" w:tplc="2940E292">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449B4"/>
    <w:multiLevelType w:val="hybridMultilevel"/>
    <w:tmpl w:val="88AC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371817"/>
    <w:multiLevelType w:val="hybridMultilevel"/>
    <w:tmpl w:val="E3B09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5D167A"/>
    <w:multiLevelType w:val="hybridMultilevel"/>
    <w:tmpl w:val="09CAF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434C64"/>
    <w:multiLevelType w:val="hybridMultilevel"/>
    <w:tmpl w:val="9946B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5"/>
  </w:num>
  <w:num w:numId="3">
    <w:abstractNumId w:val="5"/>
  </w:num>
  <w:num w:numId="4">
    <w:abstractNumId w:val="32"/>
  </w:num>
  <w:num w:numId="5">
    <w:abstractNumId w:val="10"/>
  </w:num>
  <w:num w:numId="6">
    <w:abstractNumId w:val="13"/>
  </w:num>
  <w:num w:numId="7">
    <w:abstractNumId w:val="21"/>
  </w:num>
  <w:num w:numId="8">
    <w:abstractNumId w:val="36"/>
  </w:num>
  <w:num w:numId="9">
    <w:abstractNumId w:val="19"/>
  </w:num>
  <w:num w:numId="10">
    <w:abstractNumId w:val="2"/>
  </w:num>
  <w:num w:numId="11">
    <w:abstractNumId w:val="14"/>
  </w:num>
  <w:num w:numId="12">
    <w:abstractNumId w:val="26"/>
  </w:num>
  <w:num w:numId="13">
    <w:abstractNumId w:val="30"/>
  </w:num>
  <w:num w:numId="14">
    <w:abstractNumId w:val="12"/>
  </w:num>
  <w:num w:numId="15">
    <w:abstractNumId w:val="4"/>
  </w:num>
  <w:num w:numId="16">
    <w:abstractNumId w:val="29"/>
  </w:num>
  <w:num w:numId="17">
    <w:abstractNumId w:val="11"/>
  </w:num>
  <w:num w:numId="18">
    <w:abstractNumId w:val="28"/>
  </w:num>
  <w:num w:numId="19">
    <w:abstractNumId w:val="18"/>
  </w:num>
  <w:num w:numId="20">
    <w:abstractNumId w:val="0"/>
  </w:num>
  <w:num w:numId="21">
    <w:abstractNumId w:val="23"/>
  </w:num>
  <w:num w:numId="22">
    <w:abstractNumId w:val="6"/>
  </w:num>
  <w:num w:numId="23">
    <w:abstractNumId w:val="25"/>
  </w:num>
  <w:num w:numId="24">
    <w:abstractNumId w:val="20"/>
  </w:num>
  <w:num w:numId="25">
    <w:abstractNumId w:val="1"/>
  </w:num>
  <w:num w:numId="26">
    <w:abstractNumId w:val="24"/>
  </w:num>
  <w:num w:numId="27">
    <w:abstractNumId w:val="7"/>
  </w:num>
  <w:num w:numId="28">
    <w:abstractNumId w:val="8"/>
  </w:num>
  <w:num w:numId="29">
    <w:abstractNumId w:val="31"/>
  </w:num>
  <w:num w:numId="30">
    <w:abstractNumId w:val="17"/>
  </w:num>
  <w:num w:numId="31">
    <w:abstractNumId w:val="33"/>
  </w:num>
  <w:num w:numId="32">
    <w:abstractNumId w:val="16"/>
  </w:num>
  <w:num w:numId="33">
    <w:abstractNumId w:val="35"/>
  </w:num>
  <w:num w:numId="34">
    <w:abstractNumId w:val="9"/>
  </w:num>
  <w:num w:numId="35">
    <w:abstractNumId w:val="9"/>
    <w:lvlOverride w:ilvl="0">
      <w:startOverride w:val="1"/>
    </w:lvlOverride>
  </w:num>
  <w:num w:numId="36">
    <w:abstractNumId w:val="3"/>
  </w:num>
  <w:num w:numId="37">
    <w:abstractNumId w:val="3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60D"/>
    <w:rsid w:val="00003733"/>
    <w:rsid w:val="0000451C"/>
    <w:rsid w:val="00017342"/>
    <w:rsid w:val="000235F4"/>
    <w:rsid w:val="00030057"/>
    <w:rsid w:val="00033ADD"/>
    <w:rsid w:val="0004195D"/>
    <w:rsid w:val="0004521F"/>
    <w:rsid w:val="000821DD"/>
    <w:rsid w:val="00086591"/>
    <w:rsid w:val="00086A8E"/>
    <w:rsid w:val="0009074A"/>
    <w:rsid w:val="00090A49"/>
    <w:rsid w:val="000A584E"/>
    <w:rsid w:val="000A79AB"/>
    <w:rsid w:val="000B3BB7"/>
    <w:rsid w:val="000C3F09"/>
    <w:rsid w:val="000D38B3"/>
    <w:rsid w:val="000D3BE9"/>
    <w:rsid w:val="000E1439"/>
    <w:rsid w:val="000E1D15"/>
    <w:rsid w:val="000E4DD1"/>
    <w:rsid w:val="000F0BEC"/>
    <w:rsid w:val="000F2C9D"/>
    <w:rsid w:val="001003B4"/>
    <w:rsid w:val="001046AE"/>
    <w:rsid w:val="0010647C"/>
    <w:rsid w:val="0011205C"/>
    <w:rsid w:val="00112DA0"/>
    <w:rsid w:val="0011329D"/>
    <w:rsid w:val="001203EE"/>
    <w:rsid w:val="00130476"/>
    <w:rsid w:val="0013617F"/>
    <w:rsid w:val="00137D1C"/>
    <w:rsid w:val="001414C4"/>
    <w:rsid w:val="00145EC5"/>
    <w:rsid w:val="00151CFA"/>
    <w:rsid w:val="001552C1"/>
    <w:rsid w:val="0015536C"/>
    <w:rsid w:val="00155613"/>
    <w:rsid w:val="001564C9"/>
    <w:rsid w:val="001569E7"/>
    <w:rsid w:val="0015789F"/>
    <w:rsid w:val="0017178C"/>
    <w:rsid w:val="00172CD5"/>
    <w:rsid w:val="00186F34"/>
    <w:rsid w:val="00187328"/>
    <w:rsid w:val="001978AA"/>
    <w:rsid w:val="001A7324"/>
    <w:rsid w:val="001B2437"/>
    <w:rsid w:val="001B45AE"/>
    <w:rsid w:val="001C06F4"/>
    <w:rsid w:val="001C13F0"/>
    <w:rsid w:val="001C14AF"/>
    <w:rsid w:val="001D69E7"/>
    <w:rsid w:val="001D7370"/>
    <w:rsid w:val="001E098B"/>
    <w:rsid w:val="001E5984"/>
    <w:rsid w:val="001F18F0"/>
    <w:rsid w:val="00202326"/>
    <w:rsid w:val="00202E1B"/>
    <w:rsid w:val="00204E09"/>
    <w:rsid w:val="00210E05"/>
    <w:rsid w:val="002161F4"/>
    <w:rsid w:val="0022214E"/>
    <w:rsid w:val="00224C0E"/>
    <w:rsid w:val="00225413"/>
    <w:rsid w:val="00227AD2"/>
    <w:rsid w:val="00232BB4"/>
    <w:rsid w:val="00240A7B"/>
    <w:rsid w:val="00243862"/>
    <w:rsid w:val="00261762"/>
    <w:rsid w:val="00266B18"/>
    <w:rsid w:val="00266B45"/>
    <w:rsid w:val="002718FC"/>
    <w:rsid w:val="002838AD"/>
    <w:rsid w:val="002910D1"/>
    <w:rsid w:val="00293548"/>
    <w:rsid w:val="002947EA"/>
    <w:rsid w:val="002A5219"/>
    <w:rsid w:val="002C080C"/>
    <w:rsid w:val="002C3277"/>
    <w:rsid w:val="002C3BCC"/>
    <w:rsid w:val="002C7E06"/>
    <w:rsid w:val="002D0D1D"/>
    <w:rsid w:val="002D49B1"/>
    <w:rsid w:val="002D797A"/>
    <w:rsid w:val="002E1DD1"/>
    <w:rsid w:val="002F0F0E"/>
    <w:rsid w:val="002F6B2D"/>
    <w:rsid w:val="00305E9E"/>
    <w:rsid w:val="00307324"/>
    <w:rsid w:val="00311566"/>
    <w:rsid w:val="00330473"/>
    <w:rsid w:val="00331F5F"/>
    <w:rsid w:val="003427FD"/>
    <w:rsid w:val="00351274"/>
    <w:rsid w:val="00351ED0"/>
    <w:rsid w:val="00352D8D"/>
    <w:rsid w:val="00353C69"/>
    <w:rsid w:val="00357F14"/>
    <w:rsid w:val="003725AF"/>
    <w:rsid w:val="003831E6"/>
    <w:rsid w:val="00387474"/>
    <w:rsid w:val="0039034A"/>
    <w:rsid w:val="003A44F7"/>
    <w:rsid w:val="003A4A59"/>
    <w:rsid w:val="003A7D77"/>
    <w:rsid w:val="003B4532"/>
    <w:rsid w:val="003B476A"/>
    <w:rsid w:val="003C0809"/>
    <w:rsid w:val="003C120B"/>
    <w:rsid w:val="003C56C6"/>
    <w:rsid w:val="003D35FD"/>
    <w:rsid w:val="003D5185"/>
    <w:rsid w:val="003E0B54"/>
    <w:rsid w:val="003E4B9F"/>
    <w:rsid w:val="003E7CFC"/>
    <w:rsid w:val="00400AE5"/>
    <w:rsid w:val="004041C2"/>
    <w:rsid w:val="0041547C"/>
    <w:rsid w:val="004206F2"/>
    <w:rsid w:val="00434998"/>
    <w:rsid w:val="00440463"/>
    <w:rsid w:val="004459D5"/>
    <w:rsid w:val="00447108"/>
    <w:rsid w:val="0045053D"/>
    <w:rsid w:val="004514A1"/>
    <w:rsid w:val="00451A2C"/>
    <w:rsid w:val="00451C99"/>
    <w:rsid w:val="00454EF7"/>
    <w:rsid w:val="0046082A"/>
    <w:rsid w:val="00463EC4"/>
    <w:rsid w:val="00477319"/>
    <w:rsid w:val="00477FBD"/>
    <w:rsid w:val="00482ABC"/>
    <w:rsid w:val="00483445"/>
    <w:rsid w:val="004A172F"/>
    <w:rsid w:val="004A1F81"/>
    <w:rsid w:val="004B1F80"/>
    <w:rsid w:val="004C01E8"/>
    <w:rsid w:val="004C023B"/>
    <w:rsid w:val="004C48CA"/>
    <w:rsid w:val="004C7851"/>
    <w:rsid w:val="004D28F1"/>
    <w:rsid w:val="004D70A6"/>
    <w:rsid w:val="004E58AC"/>
    <w:rsid w:val="004E601A"/>
    <w:rsid w:val="004E75B6"/>
    <w:rsid w:val="004F1A96"/>
    <w:rsid w:val="004F2734"/>
    <w:rsid w:val="004F3902"/>
    <w:rsid w:val="004F6D09"/>
    <w:rsid w:val="0050280E"/>
    <w:rsid w:val="00510079"/>
    <w:rsid w:val="00511559"/>
    <w:rsid w:val="005133AE"/>
    <w:rsid w:val="005146DA"/>
    <w:rsid w:val="00516EDB"/>
    <w:rsid w:val="00521CD3"/>
    <w:rsid w:val="0052258F"/>
    <w:rsid w:val="00523164"/>
    <w:rsid w:val="00526F30"/>
    <w:rsid w:val="005404D0"/>
    <w:rsid w:val="0054222C"/>
    <w:rsid w:val="00554BFC"/>
    <w:rsid w:val="00554DA8"/>
    <w:rsid w:val="00573359"/>
    <w:rsid w:val="00585C95"/>
    <w:rsid w:val="00585F6F"/>
    <w:rsid w:val="005908EF"/>
    <w:rsid w:val="005932F2"/>
    <w:rsid w:val="0059744D"/>
    <w:rsid w:val="00597626"/>
    <w:rsid w:val="005A1195"/>
    <w:rsid w:val="005A1ABF"/>
    <w:rsid w:val="005A279B"/>
    <w:rsid w:val="005A3DC8"/>
    <w:rsid w:val="005A5DA5"/>
    <w:rsid w:val="005B7275"/>
    <w:rsid w:val="005D0185"/>
    <w:rsid w:val="005D0349"/>
    <w:rsid w:val="005D33D1"/>
    <w:rsid w:val="005D3477"/>
    <w:rsid w:val="005D6083"/>
    <w:rsid w:val="005F5863"/>
    <w:rsid w:val="0060095C"/>
    <w:rsid w:val="0060225C"/>
    <w:rsid w:val="0060346D"/>
    <w:rsid w:val="0060409D"/>
    <w:rsid w:val="0060647D"/>
    <w:rsid w:val="00607A3E"/>
    <w:rsid w:val="00607D8A"/>
    <w:rsid w:val="0061432C"/>
    <w:rsid w:val="00614953"/>
    <w:rsid w:val="006214A2"/>
    <w:rsid w:val="00623488"/>
    <w:rsid w:val="006239C1"/>
    <w:rsid w:val="00626209"/>
    <w:rsid w:val="0063660E"/>
    <w:rsid w:val="00640BBA"/>
    <w:rsid w:val="0064579B"/>
    <w:rsid w:val="006570DD"/>
    <w:rsid w:val="00657C12"/>
    <w:rsid w:val="00670600"/>
    <w:rsid w:val="00670630"/>
    <w:rsid w:val="00670AEC"/>
    <w:rsid w:val="0067534A"/>
    <w:rsid w:val="00681971"/>
    <w:rsid w:val="00681BD7"/>
    <w:rsid w:val="00693998"/>
    <w:rsid w:val="00695145"/>
    <w:rsid w:val="006979D2"/>
    <w:rsid w:val="006A14D6"/>
    <w:rsid w:val="006B1B85"/>
    <w:rsid w:val="006B766A"/>
    <w:rsid w:val="006C01A3"/>
    <w:rsid w:val="006C62F9"/>
    <w:rsid w:val="006D1562"/>
    <w:rsid w:val="006E2CAA"/>
    <w:rsid w:val="006E5380"/>
    <w:rsid w:val="006E6729"/>
    <w:rsid w:val="006E79A9"/>
    <w:rsid w:val="006F5B34"/>
    <w:rsid w:val="006F77DF"/>
    <w:rsid w:val="007018F7"/>
    <w:rsid w:val="00714D16"/>
    <w:rsid w:val="0071575B"/>
    <w:rsid w:val="007260A7"/>
    <w:rsid w:val="00741D12"/>
    <w:rsid w:val="00753B2A"/>
    <w:rsid w:val="007576B1"/>
    <w:rsid w:val="00761F4A"/>
    <w:rsid w:val="00774A1A"/>
    <w:rsid w:val="0078047E"/>
    <w:rsid w:val="00783048"/>
    <w:rsid w:val="00793C2E"/>
    <w:rsid w:val="007A077A"/>
    <w:rsid w:val="007A0D54"/>
    <w:rsid w:val="007B2973"/>
    <w:rsid w:val="007C37EB"/>
    <w:rsid w:val="007C6735"/>
    <w:rsid w:val="007D4736"/>
    <w:rsid w:val="007D733F"/>
    <w:rsid w:val="007E63AD"/>
    <w:rsid w:val="007F3F9F"/>
    <w:rsid w:val="00802CE6"/>
    <w:rsid w:val="00814598"/>
    <w:rsid w:val="00815CDE"/>
    <w:rsid w:val="00816A7C"/>
    <w:rsid w:val="00817883"/>
    <w:rsid w:val="008262C8"/>
    <w:rsid w:val="00831962"/>
    <w:rsid w:val="00845341"/>
    <w:rsid w:val="00846E4C"/>
    <w:rsid w:val="0085571C"/>
    <w:rsid w:val="00856B21"/>
    <w:rsid w:val="00857DB2"/>
    <w:rsid w:val="008621A9"/>
    <w:rsid w:val="008742A3"/>
    <w:rsid w:val="0087530B"/>
    <w:rsid w:val="0089155F"/>
    <w:rsid w:val="00894C5A"/>
    <w:rsid w:val="008B2750"/>
    <w:rsid w:val="008C2062"/>
    <w:rsid w:val="008D4CCE"/>
    <w:rsid w:val="008F20E7"/>
    <w:rsid w:val="008F2485"/>
    <w:rsid w:val="008F58A8"/>
    <w:rsid w:val="008F690D"/>
    <w:rsid w:val="00903508"/>
    <w:rsid w:val="00913C2F"/>
    <w:rsid w:val="00914278"/>
    <w:rsid w:val="009143C2"/>
    <w:rsid w:val="00924DE0"/>
    <w:rsid w:val="00927969"/>
    <w:rsid w:val="009309A2"/>
    <w:rsid w:val="009319BD"/>
    <w:rsid w:val="00936799"/>
    <w:rsid w:val="00942FFA"/>
    <w:rsid w:val="00943ADD"/>
    <w:rsid w:val="009455F7"/>
    <w:rsid w:val="009540F6"/>
    <w:rsid w:val="0095593D"/>
    <w:rsid w:val="00955C83"/>
    <w:rsid w:val="00956F54"/>
    <w:rsid w:val="00957097"/>
    <w:rsid w:val="009574DB"/>
    <w:rsid w:val="0096521F"/>
    <w:rsid w:val="00977F51"/>
    <w:rsid w:val="009835C2"/>
    <w:rsid w:val="009844B9"/>
    <w:rsid w:val="009848F3"/>
    <w:rsid w:val="00990163"/>
    <w:rsid w:val="009924CF"/>
    <w:rsid w:val="0099322D"/>
    <w:rsid w:val="009A0B49"/>
    <w:rsid w:val="009A0B62"/>
    <w:rsid w:val="009A17E5"/>
    <w:rsid w:val="009B445E"/>
    <w:rsid w:val="009C0D56"/>
    <w:rsid w:val="009E188D"/>
    <w:rsid w:val="009E1E10"/>
    <w:rsid w:val="009F4814"/>
    <w:rsid w:val="00A11F59"/>
    <w:rsid w:val="00A1336E"/>
    <w:rsid w:val="00A1517C"/>
    <w:rsid w:val="00A16256"/>
    <w:rsid w:val="00A27302"/>
    <w:rsid w:val="00A642B8"/>
    <w:rsid w:val="00A71215"/>
    <w:rsid w:val="00A821BC"/>
    <w:rsid w:val="00A83F27"/>
    <w:rsid w:val="00A84C89"/>
    <w:rsid w:val="00A860E0"/>
    <w:rsid w:val="00A8760C"/>
    <w:rsid w:val="00A90DF3"/>
    <w:rsid w:val="00A91E0D"/>
    <w:rsid w:val="00A97A16"/>
    <w:rsid w:val="00AA28B0"/>
    <w:rsid w:val="00AA3C8D"/>
    <w:rsid w:val="00AB03ED"/>
    <w:rsid w:val="00AB03F1"/>
    <w:rsid w:val="00AB13A3"/>
    <w:rsid w:val="00AB5411"/>
    <w:rsid w:val="00AC3B1A"/>
    <w:rsid w:val="00AD3A9B"/>
    <w:rsid w:val="00AD5BAF"/>
    <w:rsid w:val="00AE347B"/>
    <w:rsid w:val="00AF3856"/>
    <w:rsid w:val="00AF6045"/>
    <w:rsid w:val="00B034EA"/>
    <w:rsid w:val="00B07F1C"/>
    <w:rsid w:val="00B12F43"/>
    <w:rsid w:val="00B1392B"/>
    <w:rsid w:val="00B15533"/>
    <w:rsid w:val="00B26B6B"/>
    <w:rsid w:val="00B32F68"/>
    <w:rsid w:val="00B45E79"/>
    <w:rsid w:val="00B501D6"/>
    <w:rsid w:val="00B52556"/>
    <w:rsid w:val="00B55DC9"/>
    <w:rsid w:val="00B612E9"/>
    <w:rsid w:val="00B668D3"/>
    <w:rsid w:val="00B66E12"/>
    <w:rsid w:val="00B7256C"/>
    <w:rsid w:val="00B94C64"/>
    <w:rsid w:val="00B95852"/>
    <w:rsid w:val="00BA03E4"/>
    <w:rsid w:val="00BA0528"/>
    <w:rsid w:val="00BA5F08"/>
    <w:rsid w:val="00BA7F03"/>
    <w:rsid w:val="00BB100A"/>
    <w:rsid w:val="00BC30A3"/>
    <w:rsid w:val="00BE0AEA"/>
    <w:rsid w:val="00BE3A56"/>
    <w:rsid w:val="00BF364E"/>
    <w:rsid w:val="00BF5270"/>
    <w:rsid w:val="00BF6BCB"/>
    <w:rsid w:val="00BF6E8C"/>
    <w:rsid w:val="00C013FE"/>
    <w:rsid w:val="00C101CD"/>
    <w:rsid w:val="00C13A87"/>
    <w:rsid w:val="00C149DD"/>
    <w:rsid w:val="00C17592"/>
    <w:rsid w:val="00C33D58"/>
    <w:rsid w:val="00C42FA0"/>
    <w:rsid w:val="00C45EC3"/>
    <w:rsid w:val="00C4700A"/>
    <w:rsid w:val="00C52D1E"/>
    <w:rsid w:val="00C53CF1"/>
    <w:rsid w:val="00C61CED"/>
    <w:rsid w:val="00C67057"/>
    <w:rsid w:val="00C7655D"/>
    <w:rsid w:val="00C805C4"/>
    <w:rsid w:val="00C811DB"/>
    <w:rsid w:val="00C83AC5"/>
    <w:rsid w:val="00C84373"/>
    <w:rsid w:val="00CB4943"/>
    <w:rsid w:val="00CB5E00"/>
    <w:rsid w:val="00CB62A4"/>
    <w:rsid w:val="00CC2624"/>
    <w:rsid w:val="00CC79BD"/>
    <w:rsid w:val="00CD060D"/>
    <w:rsid w:val="00CD699B"/>
    <w:rsid w:val="00CE1993"/>
    <w:rsid w:val="00CE2BE5"/>
    <w:rsid w:val="00CE65FE"/>
    <w:rsid w:val="00CE73F2"/>
    <w:rsid w:val="00CF5D97"/>
    <w:rsid w:val="00D04D17"/>
    <w:rsid w:val="00D21C41"/>
    <w:rsid w:val="00D46794"/>
    <w:rsid w:val="00D5105A"/>
    <w:rsid w:val="00D55C24"/>
    <w:rsid w:val="00D57B2F"/>
    <w:rsid w:val="00D601E4"/>
    <w:rsid w:val="00D60426"/>
    <w:rsid w:val="00D6320C"/>
    <w:rsid w:val="00D76615"/>
    <w:rsid w:val="00D76E78"/>
    <w:rsid w:val="00D809D2"/>
    <w:rsid w:val="00D80F6B"/>
    <w:rsid w:val="00D82A7C"/>
    <w:rsid w:val="00D874DE"/>
    <w:rsid w:val="00D909DA"/>
    <w:rsid w:val="00D976C6"/>
    <w:rsid w:val="00DA200F"/>
    <w:rsid w:val="00DB09F5"/>
    <w:rsid w:val="00DB1857"/>
    <w:rsid w:val="00DB211B"/>
    <w:rsid w:val="00DB2656"/>
    <w:rsid w:val="00DC1218"/>
    <w:rsid w:val="00DC3E3E"/>
    <w:rsid w:val="00DC4E74"/>
    <w:rsid w:val="00DC5B3A"/>
    <w:rsid w:val="00DD6F18"/>
    <w:rsid w:val="00DE0DE7"/>
    <w:rsid w:val="00DF36C2"/>
    <w:rsid w:val="00E0158B"/>
    <w:rsid w:val="00E07D50"/>
    <w:rsid w:val="00E1740F"/>
    <w:rsid w:val="00E226AE"/>
    <w:rsid w:val="00E27074"/>
    <w:rsid w:val="00E27AB7"/>
    <w:rsid w:val="00E320D5"/>
    <w:rsid w:val="00E32A36"/>
    <w:rsid w:val="00E41EAC"/>
    <w:rsid w:val="00E467F2"/>
    <w:rsid w:val="00E675EC"/>
    <w:rsid w:val="00E96774"/>
    <w:rsid w:val="00E979F7"/>
    <w:rsid w:val="00EA7144"/>
    <w:rsid w:val="00EB0F29"/>
    <w:rsid w:val="00EB5E00"/>
    <w:rsid w:val="00ED52D3"/>
    <w:rsid w:val="00EE1601"/>
    <w:rsid w:val="00EF4AFD"/>
    <w:rsid w:val="00EF6313"/>
    <w:rsid w:val="00EF7156"/>
    <w:rsid w:val="00F06042"/>
    <w:rsid w:val="00F30B8F"/>
    <w:rsid w:val="00F3450A"/>
    <w:rsid w:val="00F45D72"/>
    <w:rsid w:val="00F57390"/>
    <w:rsid w:val="00F65CC8"/>
    <w:rsid w:val="00F661A5"/>
    <w:rsid w:val="00F66F80"/>
    <w:rsid w:val="00F73C64"/>
    <w:rsid w:val="00F80BF2"/>
    <w:rsid w:val="00F95021"/>
    <w:rsid w:val="00F97D2E"/>
    <w:rsid w:val="00F97E7B"/>
    <w:rsid w:val="00FA4C14"/>
    <w:rsid w:val="00FB03C8"/>
    <w:rsid w:val="00FB2B18"/>
    <w:rsid w:val="00FB653B"/>
    <w:rsid w:val="00FC3E20"/>
    <w:rsid w:val="00FC46B5"/>
    <w:rsid w:val="00FD1249"/>
    <w:rsid w:val="00FD5E2D"/>
    <w:rsid w:val="00FE4D5C"/>
    <w:rsid w:val="00FE6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68C4"/>
  <w15:docId w15:val="{C993B1DE-D189-46D4-A138-16F6BE13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BEC"/>
    <w:rPr>
      <w:rFonts w:cstheme="minorHAnsi"/>
      <w:sz w:val="24"/>
      <w:szCs w:val="24"/>
    </w:rPr>
  </w:style>
  <w:style w:type="paragraph" w:styleId="Heading1">
    <w:name w:val="heading 1"/>
    <w:basedOn w:val="Normal"/>
    <w:next w:val="Normal"/>
    <w:link w:val="Heading1Char"/>
    <w:autoRedefine/>
    <w:uiPriority w:val="9"/>
    <w:qFormat/>
    <w:rsid w:val="00B12F43"/>
    <w:pPr>
      <w:outlineLvl w:val="0"/>
    </w:pPr>
    <w:rPr>
      <w:rFonts w:asciiTheme="majorHAnsi" w:hAnsiTheme="majorHAnsi"/>
      <w:b/>
      <w:color w:val="3D6733"/>
      <w:sz w:val="32"/>
      <w:szCs w:val="32"/>
    </w:rPr>
  </w:style>
  <w:style w:type="paragraph" w:styleId="Heading2">
    <w:name w:val="heading 2"/>
    <w:basedOn w:val="Normal"/>
    <w:next w:val="Normal"/>
    <w:link w:val="Heading2Char"/>
    <w:autoRedefine/>
    <w:uiPriority w:val="9"/>
    <w:unhideWhenUsed/>
    <w:qFormat/>
    <w:rsid w:val="00D80F6B"/>
    <w:pPr>
      <w:keepNext/>
      <w:keepLines/>
      <w:spacing w:before="240" w:after="120"/>
      <w:outlineLvl w:val="1"/>
    </w:pPr>
    <w:rPr>
      <w:rFonts w:eastAsiaTheme="majorEastAsia" w:cstheme="majorBidi"/>
      <w:b/>
      <w:color w:val="375F3E"/>
      <w:sz w:val="26"/>
      <w:szCs w:val="26"/>
      <w:lang w:eastAsia="en-GB"/>
    </w:rPr>
  </w:style>
  <w:style w:type="paragraph" w:styleId="Heading3">
    <w:name w:val="heading 3"/>
    <w:basedOn w:val="Normal"/>
    <w:next w:val="Normal"/>
    <w:link w:val="Heading3Char"/>
    <w:uiPriority w:val="9"/>
    <w:unhideWhenUsed/>
    <w:qFormat/>
    <w:rsid w:val="003427FD"/>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0F0B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F43"/>
    <w:rPr>
      <w:rFonts w:asciiTheme="majorHAnsi" w:hAnsiTheme="majorHAnsi" w:cstheme="minorHAnsi"/>
      <w:b/>
      <w:color w:val="3D6733"/>
      <w:sz w:val="32"/>
      <w:szCs w:val="32"/>
    </w:rPr>
  </w:style>
  <w:style w:type="paragraph" w:styleId="BalloonText">
    <w:name w:val="Balloon Text"/>
    <w:basedOn w:val="Normal"/>
    <w:link w:val="BalloonTextChar"/>
    <w:uiPriority w:val="99"/>
    <w:semiHidden/>
    <w:unhideWhenUsed/>
    <w:rsid w:val="00CD0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60D"/>
    <w:rPr>
      <w:rFonts w:ascii="Segoe UI" w:hAnsi="Segoe UI" w:cs="Segoe UI"/>
      <w:sz w:val="18"/>
      <w:szCs w:val="18"/>
    </w:rPr>
  </w:style>
  <w:style w:type="paragraph" w:styleId="Header">
    <w:name w:val="header"/>
    <w:basedOn w:val="Normal"/>
    <w:link w:val="HeaderChar"/>
    <w:uiPriority w:val="99"/>
    <w:unhideWhenUsed/>
    <w:rsid w:val="00585F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F6F"/>
  </w:style>
  <w:style w:type="paragraph" w:styleId="Footer">
    <w:name w:val="footer"/>
    <w:basedOn w:val="Normal"/>
    <w:link w:val="FooterChar"/>
    <w:uiPriority w:val="99"/>
    <w:unhideWhenUsed/>
    <w:rsid w:val="00585F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F6F"/>
  </w:style>
  <w:style w:type="character" w:customStyle="1" w:styleId="Heading2Char">
    <w:name w:val="Heading 2 Char"/>
    <w:basedOn w:val="DefaultParagraphFont"/>
    <w:link w:val="Heading2"/>
    <w:uiPriority w:val="9"/>
    <w:rsid w:val="00D80F6B"/>
    <w:rPr>
      <w:rFonts w:eastAsiaTheme="majorEastAsia" w:cstheme="majorBidi"/>
      <w:b/>
      <w:color w:val="375F3E"/>
      <w:sz w:val="26"/>
      <w:szCs w:val="26"/>
      <w:lang w:eastAsia="en-GB"/>
    </w:rPr>
  </w:style>
  <w:style w:type="character" w:styleId="Hyperlink">
    <w:name w:val="Hyperlink"/>
    <w:basedOn w:val="DefaultParagraphFont"/>
    <w:uiPriority w:val="99"/>
    <w:unhideWhenUsed/>
    <w:rsid w:val="009A17E5"/>
    <w:rPr>
      <w:color w:val="63A56E"/>
      <w:u w:val="single"/>
    </w:rPr>
  </w:style>
  <w:style w:type="paragraph" w:styleId="ListParagraph">
    <w:name w:val="List Paragraph"/>
    <w:basedOn w:val="Normal"/>
    <w:uiPriority w:val="34"/>
    <w:qFormat/>
    <w:rsid w:val="00523164"/>
    <w:pPr>
      <w:ind w:left="720"/>
      <w:contextualSpacing/>
    </w:pPr>
  </w:style>
  <w:style w:type="table" w:customStyle="1" w:styleId="PlainTable11">
    <w:name w:val="Plain Table 11"/>
    <w:basedOn w:val="TableNormal"/>
    <w:uiPriority w:val="41"/>
    <w:rsid w:val="009835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C42FA0"/>
    <w:pPr>
      <w:spacing w:after="0" w:line="240" w:lineRule="auto"/>
    </w:pPr>
    <w:rPr>
      <w:sz w:val="20"/>
      <w:szCs w:val="20"/>
    </w:rPr>
  </w:style>
  <w:style w:type="character" w:customStyle="1" w:styleId="FootnoteTextChar">
    <w:name w:val="Footnote Text Char"/>
    <w:basedOn w:val="DefaultParagraphFont"/>
    <w:link w:val="FootnoteText"/>
    <w:uiPriority w:val="99"/>
    <w:rsid w:val="00C42FA0"/>
    <w:rPr>
      <w:rFonts w:ascii="Trebuchet MS" w:hAnsi="Trebuchet MS"/>
      <w:sz w:val="20"/>
      <w:szCs w:val="20"/>
    </w:rPr>
  </w:style>
  <w:style w:type="character" w:styleId="FootnoteReference">
    <w:name w:val="footnote reference"/>
    <w:basedOn w:val="DefaultParagraphFont"/>
    <w:uiPriority w:val="99"/>
    <w:semiHidden/>
    <w:unhideWhenUsed/>
    <w:rsid w:val="00C42FA0"/>
    <w:rPr>
      <w:vertAlign w:val="superscript"/>
    </w:rPr>
  </w:style>
  <w:style w:type="paragraph" w:styleId="Caption">
    <w:name w:val="caption"/>
    <w:basedOn w:val="Normal"/>
    <w:next w:val="Normal"/>
    <w:link w:val="CaptionChar"/>
    <w:uiPriority w:val="35"/>
    <w:unhideWhenUsed/>
    <w:qFormat/>
    <w:rsid w:val="0004521F"/>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8D4CCE"/>
    <w:rPr>
      <w:color w:val="800080" w:themeColor="followedHyperlink"/>
      <w:u w:val="single"/>
    </w:rPr>
  </w:style>
  <w:style w:type="character" w:styleId="CommentReference">
    <w:name w:val="annotation reference"/>
    <w:basedOn w:val="DefaultParagraphFont"/>
    <w:uiPriority w:val="99"/>
    <w:semiHidden/>
    <w:unhideWhenUsed/>
    <w:rsid w:val="003B4532"/>
    <w:rPr>
      <w:sz w:val="16"/>
      <w:szCs w:val="16"/>
    </w:rPr>
  </w:style>
  <w:style w:type="paragraph" w:styleId="CommentText">
    <w:name w:val="annotation text"/>
    <w:basedOn w:val="Normal"/>
    <w:link w:val="CommentTextChar"/>
    <w:uiPriority w:val="99"/>
    <w:semiHidden/>
    <w:unhideWhenUsed/>
    <w:rsid w:val="003B4532"/>
    <w:pPr>
      <w:spacing w:line="240" w:lineRule="auto"/>
    </w:pPr>
    <w:rPr>
      <w:sz w:val="20"/>
      <w:szCs w:val="20"/>
    </w:rPr>
  </w:style>
  <w:style w:type="character" w:customStyle="1" w:styleId="CommentTextChar">
    <w:name w:val="Comment Text Char"/>
    <w:basedOn w:val="DefaultParagraphFont"/>
    <w:link w:val="CommentText"/>
    <w:uiPriority w:val="99"/>
    <w:semiHidden/>
    <w:rsid w:val="003B453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B4532"/>
    <w:rPr>
      <w:b/>
      <w:bCs/>
    </w:rPr>
  </w:style>
  <w:style w:type="character" w:customStyle="1" w:styleId="CommentSubjectChar">
    <w:name w:val="Comment Subject Char"/>
    <w:basedOn w:val="CommentTextChar"/>
    <w:link w:val="CommentSubject"/>
    <w:uiPriority w:val="99"/>
    <w:semiHidden/>
    <w:rsid w:val="003B4532"/>
    <w:rPr>
      <w:rFonts w:ascii="Trebuchet MS" w:hAnsi="Trebuchet MS"/>
      <w:b/>
      <w:bCs/>
      <w:sz w:val="20"/>
      <w:szCs w:val="20"/>
    </w:rPr>
  </w:style>
  <w:style w:type="character" w:customStyle="1" w:styleId="Mention1">
    <w:name w:val="Mention1"/>
    <w:basedOn w:val="DefaultParagraphFont"/>
    <w:uiPriority w:val="99"/>
    <w:semiHidden/>
    <w:unhideWhenUsed/>
    <w:rsid w:val="00C61CED"/>
    <w:rPr>
      <w:color w:val="2B579A"/>
      <w:shd w:val="clear" w:color="auto" w:fill="E6E6E6"/>
    </w:rPr>
  </w:style>
  <w:style w:type="character" w:customStyle="1" w:styleId="tco-ellipsis">
    <w:name w:val="tco-ellipsis"/>
    <w:basedOn w:val="DefaultParagraphFont"/>
    <w:rsid w:val="00C17592"/>
  </w:style>
  <w:style w:type="character" w:customStyle="1" w:styleId="invisible">
    <w:name w:val="invisible"/>
    <w:basedOn w:val="DefaultParagraphFont"/>
    <w:rsid w:val="00C17592"/>
  </w:style>
  <w:style w:type="character" w:customStyle="1" w:styleId="js-display-url">
    <w:name w:val="js-display-url"/>
    <w:basedOn w:val="DefaultParagraphFont"/>
    <w:rsid w:val="00C17592"/>
  </w:style>
  <w:style w:type="paragraph" w:customStyle="1" w:styleId="tweettextsize">
    <w:name w:val="tweettextsize"/>
    <w:basedOn w:val="Normal"/>
    <w:rsid w:val="00607D8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profiletweet-actioncountforaria">
    <w:name w:val="profiletweet-actioncountforaria"/>
    <w:basedOn w:val="DefaultParagraphFont"/>
    <w:rsid w:val="00607D8A"/>
  </w:style>
  <w:style w:type="character" w:customStyle="1" w:styleId="u-hiddenvisually">
    <w:name w:val="u-hiddenvisually"/>
    <w:basedOn w:val="DefaultParagraphFont"/>
    <w:rsid w:val="00607D8A"/>
  </w:style>
  <w:style w:type="character" w:customStyle="1" w:styleId="profiletweet-actioncountforpresentation">
    <w:name w:val="profiletweet-actioncountforpresentation"/>
    <w:basedOn w:val="DefaultParagraphFont"/>
    <w:rsid w:val="00607D8A"/>
  </w:style>
  <w:style w:type="character" w:customStyle="1" w:styleId="UnresolvedMention1">
    <w:name w:val="Unresolved Mention1"/>
    <w:basedOn w:val="DefaultParagraphFont"/>
    <w:uiPriority w:val="99"/>
    <w:semiHidden/>
    <w:unhideWhenUsed/>
    <w:rsid w:val="00030057"/>
    <w:rPr>
      <w:color w:val="605E5C"/>
      <w:shd w:val="clear" w:color="auto" w:fill="E1DFDD"/>
    </w:rPr>
  </w:style>
  <w:style w:type="paragraph" w:styleId="TOCHeading">
    <w:name w:val="TOC Heading"/>
    <w:basedOn w:val="Heading1"/>
    <w:next w:val="Normal"/>
    <w:uiPriority w:val="39"/>
    <w:unhideWhenUsed/>
    <w:qFormat/>
    <w:rsid w:val="00FA4C14"/>
    <w:pPr>
      <w:spacing w:line="259" w:lineRule="auto"/>
      <w:outlineLvl w:val="9"/>
    </w:pPr>
    <w:rPr>
      <w:color w:val="365F91" w:themeColor="accent1" w:themeShade="BF"/>
      <w:lang w:val="en-US"/>
    </w:rPr>
  </w:style>
  <w:style w:type="paragraph" w:styleId="TOC1">
    <w:name w:val="toc 1"/>
    <w:basedOn w:val="Normal"/>
    <w:next w:val="Normal"/>
    <w:autoRedefine/>
    <w:uiPriority w:val="39"/>
    <w:unhideWhenUsed/>
    <w:rsid w:val="00FA4C14"/>
    <w:pPr>
      <w:spacing w:before="120" w:after="0"/>
    </w:pPr>
    <w:rPr>
      <w:b/>
      <w:bCs/>
      <w:i/>
      <w:iCs/>
    </w:rPr>
  </w:style>
  <w:style w:type="paragraph" w:styleId="TOC2">
    <w:name w:val="toc 2"/>
    <w:basedOn w:val="Normal"/>
    <w:next w:val="Normal"/>
    <w:autoRedefine/>
    <w:uiPriority w:val="39"/>
    <w:unhideWhenUsed/>
    <w:rsid w:val="00FA4C14"/>
    <w:pPr>
      <w:spacing w:before="120" w:after="0"/>
      <w:ind w:left="280"/>
    </w:pPr>
    <w:rPr>
      <w:b/>
      <w:bCs/>
      <w:sz w:val="22"/>
    </w:rPr>
  </w:style>
  <w:style w:type="character" w:customStyle="1" w:styleId="Heading3Char">
    <w:name w:val="Heading 3 Char"/>
    <w:basedOn w:val="DefaultParagraphFont"/>
    <w:link w:val="Heading3"/>
    <w:uiPriority w:val="9"/>
    <w:rsid w:val="003427FD"/>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5D3477"/>
    <w:pPr>
      <w:spacing w:after="0" w:line="240" w:lineRule="auto"/>
    </w:pPr>
    <w:rPr>
      <w:rFonts w:ascii="Trebuchet MS" w:hAnsi="Trebuchet MS"/>
      <w:sz w:val="28"/>
    </w:rPr>
  </w:style>
  <w:style w:type="paragraph" w:styleId="NormalWeb">
    <w:name w:val="Normal (Web)"/>
    <w:basedOn w:val="Normal"/>
    <w:uiPriority w:val="99"/>
    <w:semiHidden/>
    <w:unhideWhenUsed/>
    <w:rsid w:val="00AF3856"/>
    <w:pPr>
      <w:spacing w:before="100" w:beforeAutospacing="1" w:after="100" w:afterAutospacing="1" w:line="240" w:lineRule="auto"/>
    </w:pPr>
    <w:rPr>
      <w:rFonts w:ascii="Times New Roman" w:eastAsia="Times New Roman" w:hAnsi="Times New Roman" w:cs="Times New Roman"/>
      <w:lang w:eastAsia="en-GB"/>
    </w:rPr>
  </w:style>
  <w:style w:type="table" w:customStyle="1" w:styleId="GridTable1Light1">
    <w:name w:val="Grid Table 1 Light1"/>
    <w:basedOn w:val="TableNormal"/>
    <w:uiPriority w:val="46"/>
    <w:rsid w:val="009142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4D28F1"/>
    <w:rPr>
      <w:color w:val="605E5C"/>
      <w:shd w:val="clear" w:color="auto" w:fill="E1DFDD"/>
    </w:rPr>
  </w:style>
  <w:style w:type="paragraph" w:styleId="Revision">
    <w:name w:val="Revision"/>
    <w:hidden/>
    <w:uiPriority w:val="99"/>
    <w:semiHidden/>
    <w:rsid w:val="00434998"/>
    <w:pPr>
      <w:spacing w:after="0" w:line="240" w:lineRule="auto"/>
    </w:pPr>
    <w:rPr>
      <w:rFonts w:ascii="Trebuchet MS" w:hAnsi="Trebuchet MS"/>
      <w:sz w:val="28"/>
    </w:rPr>
  </w:style>
  <w:style w:type="paragraph" w:styleId="TOC3">
    <w:name w:val="toc 3"/>
    <w:basedOn w:val="Normal"/>
    <w:next w:val="Normal"/>
    <w:autoRedefine/>
    <w:uiPriority w:val="39"/>
    <w:semiHidden/>
    <w:unhideWhenUsed/>
    <w:rsid w:val="00A860E0"/>
    <w:pPr>
      <w:spacing w:after="0"/>
      <w:ind w:left="560"/>
    </w:pPr>
    <w:rPr>
      <w:sz w:val="20"/>
      <w:szCs w:val="20"/>
    </w:rPr>
  </w:style>
  <w:style w:type="paragraph" w:styleId="TOC4">
    <w:name w:val="toc 4"/>
    <w:basedOn w:val="Normal"/>
    <w:next w:val="Normal"/>
    <w:autoRedefine/>
    <w:uiPriority w:val="39"/>
    <w:semiHidden/>
    <w:unhideWhenUsed/>
    <w:rsid w:val="00A860E0"/>
    <w:pPr>
      <w:spacing w:after="0"/>
      <w:ind w:left="840"/>
    </w:pPr>
    <w:rPr>
      <w:sz w:val="20"/>
      <w:szCs w:val="20"/>
    </w:rPr>
  </w:style>
  <w:style w:type="paragraph" w:styleId="TOC5">
    <w:name w:val="toc 5"/>
    <w:basedOn w:val="Normal"/>
    <w:next w:val="Normal"/>
    <w:autoRedefine/>
    <w:uiPriority w:val="39"/>
    <w:semiHidden/>
    <w:unhideWhenUsed/>
    <w:rsid w:val="00A860E0"/>
    <w:pPr>
      <w:spacing w:after="0"/>
      <w:ind w:left="1120"/>
    </w:pPr>
    <w:rPr>
      <w:sz w:val="20"/>
      <w:szCs w:val="20"/>
    </w:rPr>
  </w:style>
  <w:style w:type="paragraph" w:styleId="TOC6">
    <w:name w:val="toc 6"/>
    <w:basedOn w:val="Normal"/>
    <w:next w:val="Normal"/>
    <w:autoRedefine/>
    <w:uiPriority w:val="39"/>
    <w:semiHidden/>
    <w:unhideWhenUsed/>
    <w:rsid w:val="00A860E0"/>
    <w:pPr>
      <w:spacing w:after="0"/>
      <w:ind w:left="1400"/>
    </w:pPr>
    <w:rPr>
      <w:sz w:val="20"/>
      <w:szCs w:val="20"/>
    </w:rPr>
  </w:style>
  <w:style w:type="paragraph" w:styleId="TOC7">
    <w:name w:val="toc 7"/>
    <w:basedOn w:val="Normal"/>
    <w:next w:val="Normal"/>
    <w:autoRedefine/>
    <w:uiPriority w:val="39"/>
    <w:semiHidden/>
    <w:unhideWhenUsed/>
    <w:rsid w:val="00A860E0"/>
    <w:pPr>
      <w:spacing w:after="0"/>
      <w:ind w:left="1680"/>
    </w:pPr>
    <w:rPr>
      <w:sz w:val="20"/>
      <w:szCs w:val="20"/>
    </w:rPr>
  </w:style>
  <w:style w:type="paragraph" w:styleId="TOC8">
    <w:name w:val="toc 8"/>
    <w:basedOn w:val="Normal"/>
    <w:next w:val="Normal"/>
    <w:autoRedefine/>
    <w:uiPriority w:val="39"/>
    <w:semiHidden/>
    <w:unhideWhenUsed/>
    <w:rsid w:val="00A860E0"/>
    <w:pPr>
      <w:spacing w:after="0"/>
      <w:ind w:left="1960"/>
    </w:pPr>
    <w:rPr>
      <w:sz w:val="20"/>
      <w:szCs w:val="20"/>
    </w:rPr>
  </w:style>
  <w:style w:type="paragraph" w:styleId="TOC9">
    <w:name w:val="toc 9"/>
    <w:basedOn w:val="Normal"/>
    <w:next w:val="Normal"/>
    <w:autoRedefine/>
    <w:uiPriority w:val="39"/>
    <w:semiHidden/>
    <w:unhideWhenUsed/>
    <w:rsid w:val="00A860E0"/>
    <w:pPr>
      <w:spacing w:after="0"/>
      <w:ind w:left="2240"/>
    </w:pPr>
    <w:rPr>
      <w:sz w:val="20"/>
      <w:szCs w:val="20"/>
    </w:rPr>
  </w:style>
  <w:style w:type="paragraph" w:styleId="Title">
    <w:name w:val="Title"/>
    <w:basedOn w:val="Normal"/>
    <w:next w:val="Normal"/>
    <w:link w:val="TitleChar"/>
    <w:autoRedefine/>
    <w:uiPriority w:val="10"/>
    <w:qFormat/>
    <w:rsid w:val="00477FBD"/>
    <w:pPr>
      <w:spacing w:before="240" w:after="240" w:line="360" w:lineRule="auto"/>
      <w:contextualSpacing/>
      <w:jc w:val="center"/>
    </w:pPr>
    <w:rPr>
      <w:rFonts w:asciiTheme="majorHAnsi" w:eastAsiaTheme="majorEastAsia" w:hAnsiTheme="majorHAnsi" w:cstheme="majorBidi"/>
      <w:color w:val="375F3E"/>
      <w:spacing w:val="-10"/>
      <w:kern w:val="28"/>
      <w:sz w:val="40"/>
      <w:szCs w:val="40"/>
    </w:rPr>
  </w:style>
  <w:style w:type="character" w:customStyle="1" w:styleId="TitleChar">
    <w:name w:val="Title Char"/>
    <w:basedOn w:val="DefaultParagraphFont"/>
    <w:link w:val="Title"/>
    <w:uiPriority w:val="10"/>
    <w:rsid w:val="00477FBD"/>
    <w:rPr>
      <w:rFonts w:asciiTheme="majorHAnsi" w:eastAsiaTheme="majorEastAsia" w:hAnsiTheme="majorHAnsi" w:cstheme="majorBidi"/>
      <w:color w:val="375F3E"/>
      <w:spacing w:val="-10"/>
      <w:kern w:val="28"/>
      <w:sz w:val="40"/>
      <w:szCs w:val="40"/>
    </w:rPr>
  </w:style>
  <w:style w:type="character" w:customStyle="1" w:styleId="Heading4Char">
    <w:name w:val="Heading 4 Char"/>
    <w:basedOn w:val="DefaultParagraphFont"/>
    <w:link w:val="Heading4"/>
    <w:uiPriority w:val="9"/>
    <w:rsid w:val="000F0BEC"/>
    <w:rPr>
      <w:rFonts w:asciiTheme="majorHAnsi" w:eastAsiaTheme="majorEastAsia" w:hAnsiTheme="majorHAnsi" w:cstheme="majorBidi"/>
      <w:i/>
      <w:iCs/>
      <w:color w:val="365F91" w:themeColor="accent1" w:themeShade="BF"/>
      <w:sz w:val="28"/>
    </w:rPr>
  </w:style>
  <w:style w:type="paragraph" w:customStyle="1" w:styleId="Figures">
    <w:name w:val="Figures"/>
    <w:basedOn w:val="Caption"/>
    <w:link w:val="FiguresChar"/>
    <w:autoRedefine/>
    <w:qFormat/>
    <w:rsid w:val="00A90DF3"/>
    <w:rPr>
      <w:color w:val="375F3E"/>
      <w:sz w:val="24"/>
      <w:szCs w:val="24"/>
    </w:rPr>
  </w:style>
  <w:style w:type="paragraph" w:customStyle="1" w:styleId="Table">
    <w:name w:val="Table"/>
    <w:basedOn w:val="Caption"/>
    <w:link w:val="TableChar"/>
    <w:qFormat/>
    <w:rsid w:val="00A90DF3"/>
    <w:rPr>
      <w:color w:val="375F3E"/>
      <w:sz w:val="24"/>
      <w:szCs w:val="24"/>
    </w:rPr>
  </w:style>
  <w:style w:type="character" w:customStyle="1" w:styleId="CaptionChar">
    <w:name w:val="Caption Char"/>
    <w:basedOn w:val="DefaultParagraphFont"/>
    <w:link w:val="Caption"/>
    <w:uiPriority w:val="35"/>
    <w:rsid w:val="007C37EB"/>
    <w:rPr>
      <w:rFonts w:cstheme="minorHAnsi"/>
      <w:i/>
      <w:iCs/>
      <w:color w:val="1F497D" w:themeColor="text2"/>
      <w:sz w:val="18"/>
      <w:szCs w:val="18"/>
    </w:rPr>
  </w:style>
  <w:style w:type="character" w:customStyle="1" w:styleId="FiguresChar">
    <w:name w:val="Figures Char"/>
    <w:basedOn w:val="CaptionChar"/>
    <w:link w:val="Figures"/>
    <w:rsid w:val="00A90DF3"/>
    <w:rPr>
      <w:rFonts w:cstheme="minorHAnsi"/>
      <w:i/>
      <w:iCs/>
      <w:color w:val="375F3E"/>
      <w:sz w:val="24"/>
      <w:szCs w:val="24"/>
    </w:rPr>
  </w:style>
  <w:style w:type="character" w:customStyle="1" w:styleId="TableChar">
    <w:name w:val="Table Char"/>
    <w:basedOn w:val="CaptionChar"/>
    <w:link w:val="Table"/>
    <w:rsid w:val="00A90DF3"/>
    <w:rPr>
      <w:rFonts w:cstheme="minorHAnsi"/>
      <w:i/>
      <w:iCs/>
      <w:color w:val="375F3E"/>
      <w:sz w:val="24"/>
      <w:szCs w:val="24"/>
    </w:rPr>
  </w:style>
  <w:style w:type="paragraph" w:styleId="TableofFigures">
    <w:name w:val="table of figures"/>
    <w:basedOn w:val="Normal"/>
    <w:next w:val="Normal"/>
    <w:uiPriority w:val="99"/>
    <w:unhideWhenUsed/>
    <w:rsid w:val="002D79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7461">
      <w:bodyDiv w:val="1"/>
      <w:marLeft w:val="0"/>
      <w:marRight w:val="0"/>
      <w:marTop w:val="0"/>
      <w:marBottom w:val="0"/>
      <w:divBdr>
        <w:top w:val="none" w:sz="0" w:space="0" w:color="auto"/>
        <w:left w:val="none" w:sz="0" w:space="0" w:color="auto"/>
        <w:bottom w:val="none" w:sz="0" w:space="0" w:color="auto"/>
        <w:right w:val="none" w:sz="0" w:space="0" w:color="auto"/>
      </w:divBdr>
    </w:div>
    <w:div w:id="331567420">
      <w:bodyDiv w:val="1"/>
      <w:marLeft w:val="0"/>
      <w:marRight w:val="0"/>
      <w:marTop w:val="0"/>
      <w:marBottom w:val="0"/>
      <w:divBdr>
        <w:top w:val="none" w:sz="0" w:space="0" w:color="auto"/>
        <w:left w:val="none" w:sz="0" w:space="0" w:color="auto"/>
        <w:bottom w:val="none" w:sz="0" w:space="0" w:color="auto"/>
        <w:right w:val="none" w:sz="0" w:space="0" w:color="auto"/>
      </w:divBdr>
    </w:div>
    <w:div w:id="342637206">
      <w:bodyDiv w:val="1"/>
      <w:marLeft w:val="0"/>
      <w:marRight w:val="0"/>
      <w:marTop w:val="0"/>
      <w:marBottom w:val="0"/>
      <w:divBdr>
        <w:top w:val="none" w:sz="0" w:space="0" w:color="auto"/>
        <w:left w:val="none" w:sz="0" w:space="0" w:color="auto"/>
        <w:bottom w:val="none" w:sz="0" w:space="0" w:color="auto"/>
        <w:right w:val="none" w:sz="0" w:space="0" w:color="auto"/>
      </w:divBdr>
      <w:divsChild>
        <w:div w:id="1226448732">
          <w:marLeft w:val="360"/>
          <w:marRight w:val="0"/>
          <w:marTop w:val="200"/>
          <w:marBottom w:val="0"/>
          <w:divBdr>
            <w:top w:val="none" w:sz="0" w:space="0" w:color="auto"/>
            <w:left w:val="none" w:sz="0" w:space="0" w:color="auto"/>
            <w:bottom w:val="none" w:sz="0" w:space="0" w:color="auto"/>
            <w:right w:val="none" w:sz="0" w:space="0" w:color="auto"/>
          </w:divBdr>
        </w:div>
      </w:divsChild>
    </w:div>
    <w:div w:id="378825381">
      <w:bodyDiv w:val="1"/>
      <w:marLeft w:val="0"/>
      <w:marRight w:val="0"/>
      <w:marTop w:val="0"/>
      <w:marBottom w:val="0"/>
      <w:divBdr>
        <w:top w:val="none" w:sz="0" w:space="0" w:color="auto"/>
        <w:left w:val="none" w:sz="0" w:space="0" w:color="auto"/>
        <w:bottom w:val="none" w:sz="0" w:space="0" w:color="auto"/>
        <w:right w:val="none" w:sz="0" w:space="0" w:color="auto"/>
      </w:divBdr>
      <w:divsChild>
        <w:div w:id="640186689">
          <w:marLeft w:val="0"/>
          <w:marRight w:val="0"/>
          <w:marTop w:val="0"/>
          <w:marBottom w:val="0"/>
          <w:divBdr>
            <w:top w:val="none" w:sz="0" w:space="0" w:color="auto"/>
            <w:left w:val="none" w:sz="0" w:space="0" w:color="auto"/>
            <w:bottom w:val="none" w:sz="0" w:space="0" w:color="auto"/>
            <w:right w:val="none" w:sz="0" w:space="0" w:color="auto"/>
          </w:divBdr>
        </w:div>
        <w:div w:id="1316641995">
          <w:marLeft w:val="0"/>
          <w:marRight w:val="0"/>
          <w:marTop w:val="0"/>
          <w:marBottom w:val="0"/>
          <w:divBdr>
            <w:top w:val="none" w:sz="0" w:space="0" w:color="auto"/>
            <w:left w:val="none" w:sz="0" w:space="0" w:color="auto"/>
            <w:bottom w:val="none" w:sz="0" w:space="0" w:color="auto"/>
            <w:right w:val="none" w:sz="0" w:space="0" w:color="auto"/>
          </w:divBdr>
        </w:div>
        <w:div w:id="27679981">
          <w:marLeft w:val="0"/>
          <w:marRight w:val="0"/>
          <w:marTop w:val="0"/>
          <w:marBottom w:val="0"/>
          <w:divBdr>
            <w:top w:val="none" w:sz="0" w:space="0" w:color="auto"/>
            <w:left w:val="none" w:sz="0" w:space="0" w:color="auto"/>
            <w:bottom w:val="none" w:sz="0" w:space="0" w:color="auto"/>
            <w:right w:val="none" w:sz="0" w:space="0" w:color="auto"/>
          </w:divBdr>
        </w:div>
      </w:divsChild>
    </w:div>
    <w:div w:id="398359493">
      <w:bodyDiv w:val="1"/>
      <w:marLeft w:val="0"/>
      <w:marRight w:val="0"/>
      <w:marTop w:val="0"/>
      <w:marBottom w:val="0"/>
      <w:divBdr>
        <w:top w:val="none" w:sz="0" w:space="0" w:color="auto"/>
        <w:left w:val="none" w:sz="0" w:space="0" w:color="auto"/>
        <w:bottom w:val="none" w:sz="0" w:space="0" w:color="auto"/>
        <w:right w:val="none" w:sz="0" w:space="0" w:color="auto"/>
      </w:divBdr>
    </w:div>
    <w:div w:id="420414061">
      <w:bodyDiv w:val="1"/>
      <w:marLeft w:val="0"/>
      <w:marRight w:val="0"/>
      <w:marTop w:val="0"/>
      <w:marBottom w:val="0"/>
      <w:divBdr>
        <w:top w:val="none" w:sz="0" w:space="0" w:color="auto"/>
        <w:left w:val="none" w:sz="0" w:space="0" w:color="auto"/>
        <w:bottom w:val="none" w:sz="0" w:space="0" w:color="auto"/>
        <w:right w:val="none" w:sz="0" w:space="0" w:color="auto"/>
      </w:divBdr>
    </w:div>
    <w:div w:id="491603097">
      <w:bodyDiv w:val="1"/>
      <w:marLeft w:val="0"/>
      <w:marRight w:val="0"/>
      <w:marTop w:val="0"/>
      <w:marBottom w:val="0"/>
      <w:divBdr>
        <w:top w:val="none" w:sz="0" w:space="0" w:color="auto"/>
        <w:left w:val="none" w:sz="0" w:space="0" w:color="auto"/>
        <w:bottom w:val="none" w:sz="0" w:space="0" w:color="auto"/>
        <w:right w:val="none" w:sz="0" w:space="0" w:color="auto"/>
      </w:divBdr>
    </w:div>
    <w:div w:id="604775281">
      <w:bodyDiv w:val="1"/>
      <w:marLeft w:val="0"/>
      <w:marRight w:val="0"/>
      <w:marTop w:val="0"/>
      <w:marBottom w:val="0"/>
      <w:divBdr>
        <w:top w:val="none" w:sz="0" w:space="0" w:color="auto"/>
        <w:left w:val="none" w:sz="0" w:space="0" w:color="auto"/>
        <w:bottom w:val="none" w:sz="0" w:space="0" w:color="auto"/>
        <w:right w:val="none" w:sz="0" w:space="0" w:color="auto"/>
      </w:divBdr>
      <w:divsChild>
        <w:div w:id="605963787">
          <w:marLeft w:val="360"/>
          <w:marRight w:val="0"/>
          <w:marTop w:val="200"/>
          <w:marBottom w:val="0"/>
          <w:divBdr>
            <w:top w:val="none" w:sz="0" w:space="0" w:color="auto"/>
            <w:left w:val="none" w:sz="0" w:space="0" w:color="auto"/>
            <w:bottom w:val="none" w:sz="0" w:space="0" w:color="auto"/>
            <w:right w:val="none" w:sz="0" w:space="0" w:color="auto"/>
          </w:divBdr>
        </w:div>
      </w:divsChild>
    </w:div>
    <w:div w:id="916792534">
      <w:bodyDiv w:val="1"/>
      <w:marLeft w:val="0"/>
      <w:marRight w:val="0"/>
      <w:marTop w:val="0"/>
      <w:marBottom w:val="0"/>
      <w:divBdr>
        <w:top w:val="none" w:sz="0" w:space="0" w:color="auto"/>
        <w:left w:val="none" w:sz="0" w:space="0" w:color="auto"/>
        <w:bottom w:val="none" w:sz="0" w:space="0" w:color="auto"/>
        <w:right w:val="none" w:sz="0" w:space="0" w:color="auto"/>
      </w:divBdr>
    </w:div>
    <w:div w:id="1007054005">
      <w:bodyDiv w:val="1"/>
      <w:marLeft w:val="0"/>
      <w:marRight w:val="0"/>
      <w:marTop w:val="0"/>
      <w:marBottom w:val="0"/>
      <w:divBdr>
        <w:top w:val="none" w:sz="0" w:space="0" w:color="auto"/>
        <w:left w:val="none" w:sz="0" w:space="0" w:color="auto"/>
        <w:bottom w:val="none" w:sz="0" w:space="0" w:color="auto"/>
        <w:right w:val="none" w:sz="0" w:space="0" w:color="auto"/>
      </w:divBdr>
    </w:div>
    <w:div w:id="1067413667">
      <w:bodyDiv w:val="1"/>
      <w:marLeft w:val="0"/>
      <w:marRight w:val="0"/>
      <w:marTop w:val="0"/>
      <w:marBottom w:val="0"/>
      <w:divBdr>
        <w:top w:val="none" w:sz="0" w:space="0" w:color="auto"/>
        <w:left w:val="none" w:sz="0" w:space="0" w:color="auto"/>
        <w:bottom w:val="none" w:sz="0" w:space="0" w:color="auto"/>
        <w:right w:val="none" w:sz="0" w:space="0" w:color="auto"/>
      </w:divBdr>
    </w:div>
    <w:div w:id="1140999702">
      <w:bodyDiv w:val="1"/>
      <w:marLeft w:val="0"/>
      <w:marRight w:val="0"/>
      <w:marTop w:val="0"/>
      <w:marBottom w:val="0"/>
      <w:divBdr>
        <w:top w:val="none" w:sz="0" w:space="0" w:color="auto"/>
        <w:left w:val="none" w:sz="0" w:space="0" w:color="auto"/>
        <w:bottom w:val="none" w:sz="0" w:space="0" w:color="auto"/>
        <w:right w:val="none" w:sz="0" w:space="0" w:color="auto"/>
      </w:divBdr>
      <w:divsChild>
        <w:div w:id="1688677851">
          <w:marLeft w:val="0"/>
          <w:marRight w:val="0"/>
          <w:marTop w:val="0"/>
          <w:marBottom w:val="0"/>
          <w:divBdr>
            <w:top w:val="none" w:sz="0" w:space="0" w:color="auto"/>
            <w:left w:val="none" w:sz="0" w:space="0" w:color="auto"/>
            <w:bottom w:val="none" w:sz="0" w:space="0" w:color="auto"/>
            <w:right w:val="none" w:sz="0" w:space="0" w:color="auto"/>
          </w:divBdr>
        </w:div>
        <w:div w:id="744693020">
          <w:marLeft w:val="0"/>
          <w:marRight w:val="0"/>
          <w:marTop w:val="0"/>
          <w:marBottom w:val="0"/>
          <w:divBdr>
            <w:top w:val="none" w:sz="0" w:space="0" w:color="auto"/>
            <w:left w:val="none" w:sz="0" w:space="0" w:color="auto"/>
            <w:bottom w:val="none" w:sz="0" w:space="0" w:color="auto"/>
            <w:right w:val="none" w:sz="0" w:space="0" w:color="auto"/>
          </w:divBdr>
          <w:divsChild>
            <w:div w:id="784689482">
              <w:marLeft w:val="0"/>
              <w:marRight w:val="0"/>
              <w:marTop w:val="0"/>
              <w:marBottom w:val="0"/>
              <w:divBdr>
                <w:top w:val="none" w:sz="0" w:space="0" w:color="auto"/>
                <w:left w:val="none" w:sz="0" w:space="0" w:color="auto"/>
                <w:bottom w:val="none" w:sz="0" w:space="0" w:color="auto"/>
                <w:right w:val="none" w:sz="0" w:space="0" w:color="auto"/>
              </w:divBdr>
            </w:div>
            <w:div w:id="1817330574">
              <w:marLeft w:val="0"/>
              <w:marRight w:val="0"/>
              <w:marTop w:val="150"/>
              <w:marBottom w:val="30"/>
              <w:divBdr>
                <w:top w:val="none" w:sz="0" w:space="0" w:color="auto"/>
                <w:left w:val="none" w:sz="0" w:space="0" w:color="auto"/>
                <w:bottom w:val="none" w:sz="0" w:space="0" w:color="auto"/>
                <w:right w:val="none" w:sz="0" w:space="0" w:color="auto"/>
              </w:divBdr>
              <w:divsChild>
                <w:div w:id="1813718994">
                  <w:marLeft w:val="0"/>
                  <w:marRight w:val="0"/>
                  <w:marTop w:val="0"/>
                  <w:marBottom w:val="0"/>
                  <w:divBdr>
                    <w:top w:val="none" w:sz="0" w:space="0" w:color="auto"/>
                    <w:left w:val="none" w:sz="0" w:space="0" w:color="auto"/>
                    <w:bottom w:val="none" w:sz="0" w:space="0" w:color="auto"/>
                    <w:right w:val="none" w:sz="0" w:space="0" w:color="auto"/>
                  </w:divBdr>
                  <w:divsChild>
                    <w:div w:id="1405300622">
                      <w:marLeft w:val="0"/>
                      <w:marRight w:val="0"/>
                      <w:marTop w:val="0"/>
                      <w:marBottom w:val="0"/>
                      <w:divBdr>
                        <w:top w:val="none" w:sz="0" w:space="0" w:color="auto"/>
                        <w:left w:val="none" w:sz="0" w:space="0" w:color="auto"/>
                        <w:bottom w:val="none" w:sz="0" w:space="0" w:color="auto"/>
                        <w:right w:val="none" w:sz="0" w:space="0" w:color="auto"/>
                      </w:divBdr>
                    </w:div>
                  </w:divsChild>
                </w:div>
                <w:div w:id="224873981">
                  <w:marLeft w:val="0"/>
                  <w:marRight w:val="0"/>
                  <w:marTop w:val="0"/>
                  <w:marBottom w:val="0"/>
                  <w:divBdr>
                    <w:top w:val="none" w:sz="0" w:space="0" w:color="auto"/>
                    <w:left w:val="none" w:sz="0" w:space="0" w:color="auto"/>
                    <w:bottom w:val="none" w:sz="0" w:space="0" w:color="auto"/>
                    <w:right w:val="none" w:sz="0" w:space="0" w:color="auto"/>
                  </w:divBdr>
                  <w:divsChild>
                    <w:div w:id="845632331">
                      <w:marLeft w:val="0"/>
                      <w:marRight w:val="0"/>
                      <w:marTop w:val="0"/>
                      <w:marBottom w:val="0"/>
                      <w:divBdr>
                        <w:top w:val="none" w:sz="0" w:space="0" w:color="auto"/>
                        <w:left w:val="none" w:sz="0" w:space="0" w:color="auto"/>
                        <w:bottom w:val="none" w:sz="0" w:space="0" w:color="auto"/>
                        <w:right w:val="none" w:sz="0" w:space="0" w:color="auto"/>
                      </w:divBdr>
                    </w:div>
                  </w:divsChild>
                </w:div>
                <w:div w:id="681509674">
                  <w:marLeft w:val="0"/>
                  <w:marRight w:val="0"/>
                  <w:marTop w:val="0"/>
                  <w:marBottom w:val="0"/>
                  <w:divBdr>
                    <w:top w:val="none" w:sz="0" w:space="0" w:color="auto"/>
                    <w:left w:val="none" w:sz="0" w:space="0" w:color="auto"/>
                    <w:bottom w:val="none" w:sz="0" w:space="0" w:color="auto"/>
                    <w:right w:val="none" w:sz="0" w:space="0" w:color="auto"/>
                  </w:divBdr>
                  <w:divsChild>
                    <w:div w:id="19976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81006">
      <w:bodyDiv w:val="1"/>
      <w:marLeft w:val="0"/>
      <w:marRight w:val="0"/>
      <w:marTop w:val="0"/>
      <w:marBottom w:val="0"/>
      <w:divBdr>
        <w:top w:val="none" w:sz="0" w:space="0" w:color="auto"/>
        <w:left w:val="none" w:sz="0" w:space="0" w:color="auto"/>
        <w:bottom w:val="none" w:sz="0" w:space="0" w:color="auto"/>
        <w:right w:val="none" w:sz="0" w:space="0" w:color="auto"/>
      </w:divBdr>
      <w:divsChild>
        <w:div w:id="1886987646">
          <w:marLeft w:val="0"/>
          <w:marRight w:val="0"/>
          <w:marTop w:val="0"/>
          <w:marBottom w:val="0"/>
          <w:divBdr>
            <w:top w:val="none" w:sz="0" w:space="0" w:color="auto"/>
            <w:left w:val="none" w:sz="0" w:space="0" w:color="auto"/>
            <w:bottom w:val="none" w:sz="0" w:space="0" w:color="auto"/>
            <w:right w:val="none" w:sz="0" w:space="0" w:color="auto"/>
          </w:divBdr>
        </w:div>
        <w:div w:id="144008172">
          <w:marLeft w:val="0"/>
          <w:marRight w:val="0"/>
          <w:marTop w:val="0"/>
          <w:marBottom w:val="0"/>
          <w:divBdr>
            <w:top w:val="none" w:sz="0" w:space="0" w:color="auto"/>
            <w:left w:val="none" w:sz="0" w:space="0" w:color="auto"/>
            <w:bottom w:val="none" w:sz="0" w:space="0" w:color="auto"/>
            <w:right w:val="none" w:sz="0" w:space="0" w:color="auto"/>
          </w:divBdr>
        </w:div>
        <w:div w:id="1753962701">
          <w:marLeft w:val="0"/>
          <w:marRight w:val="0"/>
          <w:marTop w:val="0"/>
          <w:marBottom w:val="0"/>
          <w:divBdr>
            <w:top w:val="none" w:sz="0" w:space="0" w:color="auto"/>
            <w:left w:val="none" w:sz="0" w:space="0" w:color="auto"/>
            <w:bottom w:val="none" w:sz="0" w:space="0" w:color="auto"/>
            <w:right w:val="none" w:sz="0" w:space="0" w:color="auto"/>
          </w:divBdr>
        </w:div>
        <w:div w:id="1500003848">
          <w:marLeft w:val="0"/>
          <w:marRight w:val="0"/>
          <w:marTop w:val="0"/>
          <w:marBottom w:val="0"/>
          <w:divBdr>
            <w:top w:val="none" w:sz="0" w:space="0" w:color="auto"/>
            <w:left w:val="none" w:sz="0" w:space="0" w:color="auto"/>
            <w:bottom w:val="none" w:sz="0" w:space="0" w:color="auto"/>
            <w:right w:val="none" w:sz="0" w:space="0" w:color="auto"/>
          </w:divBdr>
        </w:div>
        <w:div w:id="1342245827">
          <w:marLeft w:val="0"/>
          <w:marRight w:val="0"/>
          <w:marTop w:val="0"/>
          <w:marBottom w:val="0"/>
          <w:divBdr>
            <w:top w:val="none" w:sz="0" w:space="0" w:color="auto"/>
            <w:left w:val="none" w:sz="0" w:space="0" w:color="auto"/>
            <w:bottom w:val="none" w:sz="0" w:space="0" w:color="auto"/>
            <w:right w:val="none" w:sz="0" w:space="0" w:color="auto"/>
          </w:divBdr>
        </w:div>
        <w:div w:id="639458166">
          <w:marLeft w:val="0"/>
          <w:marRight w:val="0"/>
          <w:marTop w:val="0"/>
          <w:marBottom w:val="0"/>
          <w:divBdr>
            <w:top w:val="none" w:sz="0" w:space="0" w:color="auto"/>
            <w:left w:val="none" w:sz="0" w:space="0" w:color="auto"/>
            <w:bottom w:val="none" w:sz="0" w:space="0" w:color="auto"/>
            <w:right w:val="none" w:sz="0" w:space="0" w:color="auto"/>
          </w:divBdr>
        </w:div>
        <w:div w:id="1692755178">
          <w:marLeft w:val="0"/>
          <w:marRight w:val="0"/>
          <w:marTop w:val="0"/>
          <w:marBottom w:val="0"/>
          <w:divBdr>
            <w:top w:val="none" w:sz="0" w:space="0" w:color="auto"/>
            <w:left w:val="none" w:sz="0" w:space="0" w:color="auto"/>
            <w:bottom w:val="none" w:sz="0" w:space="0" w:color="auto"/>
            <w:right w:val="none" w:sz="0" w:space="0" w:color="auto"/>
          </w:divBdr>
        </w:div>
        <w:div w:id="1249923470">
          <w:marLeft w:val="0"/>
          <w:marRight w:val="0"/>
          <w:marTop w:val="0"/>
          <w:marBottom w:val="0"/>
          <w:divBdr>
            <w:top w:val="none" w:sz="0" w:space="0" w:color="auto"/>
            <w:left w:val="none" w:sz="0" w:space="0" w:color="auto"/>
            <w:bottom w:val="none" w:sz="0" w:space="0" w:color="auto"/>
            <w:right w:val="none" w:sz="0" w:space="0" w:color="auto"/>
          </w:divBdr>
        </w:div>
        <w:div w:id="1304894113">
          <w:marLeft w:val="0"/>
          <w:marRight w:val="0"/>
          <w:marTop w:val="0"/>
          <w:marBottom w:val="0"/>
          <w:divBdr>
            <w:top w:val="none" w:sz="0" w:space="0" w:color="auto"/>
            <w:left w:val="none" w:sz="0" w:space="0" w:color="auto"/>
            <w:bottom w:val="none" w:sz="0" w:space="0" w:color="auto"/>
            <w:right w:val="none" w:sz="0" w:space="0" w:color="auto"/>
          </w:divBdr>
        </w:div>
        <w:div w:id="657347599">
          <w:marLeft w:val="0"/>
          <w:marRight w:val="0"/>
          <w:marTop w:val="0"/>
          <w:marBottom w:val="0"/>
          <w:divBdr>
            <w:top w:val="none" w:sz="0" w:space="0" w:color="auto"/>
            <w:left w:val="none" w:sz="0" w:space="0" w:color="auto"/>
            <w:bottom w:val="none" w:sz="0" w:space="0" w:color="auto"/>
            <w:right w:val="none" w:sz="0" w:space="0" w:color="auto"/>
          </w:divBdr>
        </w:div>
        <w:div w:id="1859075538">
          <w:marLeft w:val="0"/>
          <w:marRight w:val="0"/>
          <w:marTop w:val="0"/>
          <w:marBottom w:val="0"/>
          <w:divBdr>
            <w:top w:val="none" w:sz="0" w:space="0" w:color="auto"/>
            <w:left w:val="none" w:sz="0" w:space="0" w:color="auto"/>
            <w:bottom w:val="none" w:sz="0" w:space="0" w:color="auto"/>
            <w:right w:val="none" w:sz="0" w:space="0" w:color="auto"/>
          </w:divBdr>
        </w:div>
        <w:div w:id="381290982">
          <w:marLeft w:val="0"/>
          <w:marRight w:val="0"/>
          <w:marTop w:val="0"/>
          <w:marBottom w:val="0"/>
          <w:divBdr>
            <w:top w:val="none" w:sz="0" w:space="0" w:color="auto"/>
            <w:left w:val="none" w:sz="0" w:space="0" w:color="auto"/>
            <w:bottom w:val="none" w:sz="0" w:space="0" w:color="auto"/>
            <w:right w:val="none" w:sz="0" w:space="0" w:color="auto"/>
          </w:divBdr>
        </w:div>
        <w:div w:id="1256134497">
          <w:marLeft w:val="0"/>
          <w:marRight w:val="0"/>
          <w:marTop w:val="0"/>
          <w:marBottom w:val="0"/>
          <w:divBdr>
            <w:top w:val="none" w:sz="0" w:space="0" w:color="auto"/>
            <w:left w:val="none" w:sz="0" w:space="0" w:color="auto"/>
            <w:bottom w:val="none" w:sz="0" w:space="0" w:color="auto"/>
            <w:right w:val="none" w:sz="0" w:space="0" w:color="auto"/>
          </w:divBdr>
        </w:div>
        <w:div w:id="1800105276">
          <w:marLeft w:val="0"/>
          <w:marRight w:val="0"/>
          <w:marTop w:val="0"/>
          <w:marBottom w:val="0"/>
          <w:divBdr>
            <w:top w:val="none" w:sz="0" w:space="0" w:color="auto"/>
            <w:left w:val="none" w:sz="0" w:space="0" w:color="auto"/>
            <w:bottom w:val="none" w:sz="0" w:space="0" w:color="auto"/>
            <w:right w:val="none" w:sz="0" w:space="0" w:color="auto"/>
          </w:divBdr>
        </w:div>
        <w:div w:id="1194223352">
          <w:marLeft w:val="0"/>
          <w:marRight w:val="0"/>
          <w:marTop w:val="0"/>
          <w:marBottom w:val="0"/>
          <w:divBdr>
            <w:top w:val="none" w:sz="0" w:space="0" w:color="auto"/>
            <w:left w:val="none" w:sz="0" w:space="0" w:color="auto"/>
            <w:bottom w:val="none" w:sz="0" w:space="0" w:color="auto"/>
            <w:right w:val="none" w:sz="0" w:space="0" w:color="auto"/>
          </w:divBdr>
        </w:div>
        <w:div w:id="1513103460">
          <w:marLeft w:val="0"/>
          <w:marRight w:val="0"/>
          <w:marTop w:val="0"/>
          <w:marBottom w:val="0"/>
          <w:divBdr>
            <w:top w:val="none" w:sz="0" w:space="0" w:color="auto"/>
            <w:left w:val="none" w:sz="0" w:space="0" w:color="auto"/>
            <w:bottom w:val="none" w:sz="0" w:space="0" w:color="auto"/>
            <w:right w:val="none" w:sz="0" w:space="0" w:color="auto"/>
          </w:divBdr>
        </w:div>
        <w:div w:id="763692192">
          <w:marLeft w:val="0"/>
          <w:marRight w:val="0"/>
          <w:marTop w:val="0"/>
          <w:marBottom w:val="0"/>
          <w:divBdr>
            <w:top w:val="none" w:sz="0" w:space="0" w:color="auto"/>
            <w:left w:val="none" w:sz="0" w:space="0" w:color="auto"/>
            <w:bottom w:val="none" w:sz="0" w:space="0" w:color="auto"/>
            <w:right w:val="none" w:sz="0" w:space="0" w:color="auto"/>
          </w:divBdr>
        </w:div>
        <w:div w:id="63066884">
          <w:marLeft w:val="0"/>
          <w:marRight w:val="0"/>
          <w:marTop w:val="0"/>
          <w:marBottom w:val="0"/>
          <w:divBdr>
            <w:top w:val="none" w:sz="0" w:space="0" w:color="auto"/>
            <w:left w:val="none" w:sz="0" w:space="0" w:color="auto"/>
            <w:bottom w:val="none" w:sz="0" w:space="0" w:color="auto"/>
            <w:right w:val="none" w:sz="0" w:space="0" w:color="auto"/>
          </w:divBdr>
        </w:div>
        <w:div w:id="1561863678">
          <w:marLeft w:val="0"/>
          <w:marRight w:val="0"/>
          <w:marTop w:val="0"/>
          <w:marBottom w:val="0"/>
          <w:divBdr>
            <w:top w:val="none" w:sz="0" w:space="0" w:color="auto"/>
            <w:left w:val="none" w:sz="0" w:space="0" w:color="auto"/>
            <w:bottom w:val="none" w:sz="0" w:space="0" w:color="auto"/>
            <w:right w:val="none" w:sz="0" w:space="0" w:color="auto"/>
          </w:divBdr>
        </w:div>
        <w:div w:id="573707907">
          <w:marLeft w:val="0"/>
          <w:marRight w:val="0"/>
          <w:marTop w:val="0"/>
          <w:marBottom w:val="0"/>
          <w:divBdr>
            <w:top w:val="none" w:sz="0" w:space="0" w:color="auto"/>
            <w:left w:val="none" w:sz="0" w:space="0" w:color="auto"/>
            <w:bottom w:val="none" w:sz="0" w:space="0" w:color="auto"/>
            <w:right w:val="none" w:sz="0" w:space="0" w:color="auto"/>
          </w:divBdr>
        </w:div>
        <w:div w:id="648443438">
          <w:marLeft w:val="0"/>
          <w:marRight w:val="0"/>
          <w:marTop w:val="0"/>
          <w:marBottom w:val="0"/>
          <w:divBdr>
            <w:top w:val="none" w:sz="0" w:space="0" w:color="auto"/>
            <w:left w:val="none" w:sz="0" w:space="0" w:color="auto"/>
            <w:bottom w:val="none" w:sz="0" w:space="0" w:color="auto"/>
            <w:right w:val="none" w:sz="0" w:space="0" w:color="auto"/>
          </w:divBdr>
        </w:div>
        <w:div w:id="1968926528">
          <w:marLeft w:val="0"/>
          <w:marRight w:val="0"/>
          <w:marTop w:val="0"/>
          <w:marBottom w:val="0"/>
          <w:divBdr>
            <w:top w:val="none" w:sz="0" w:space="0" w:color="auto"/>
            <w:left w:val="none" w:sz="0" w:space="0" w:color="auto"/>
            <w:bottom w:val="none" w:sz="0" w:space="0" w:color="auto"/>
            <w:right w:val="none" w:sz="0" w:space="0" w:color="auto"/>
          </w:divBdr>
        </w:div>
        <w:div w:id="215242133">
          <w:marLeft w:val="0"/>
          <w:marRight w:val="0"/>
          <w:marTop w:val="0"/>
          <w:marBottom w:val="0"/>
          <w:divBdr>
            <w:top w:val="none" w:sz="0" w:space="0" w:color="auto"/>
            <w:left w:val="none" w:sz="0" w:space="0" w:color="auto"/>
            <w:bottom w:val="none" w:sz="0" w:space="0" w:color="auto"/>
            <w:right w:val="none" w:sz="0" w:space="0" w:color="auto"/>
          </w:divBdr>
        </w:div>
        <w:div w:id="1419402422">
          <w:marLeft w:val="0"/>
          <w:marRight w:val="0"/>
          <w:marTop w:val="0"/>
          <w:marBottom w:val="0"/>
          <w:divBdr>
            <w:top w:val="none" w:sz="0" w:space="0" w:color="auto"/>
            <w:left w:val="none" w:sz="0" w:space="0" w:color="auto"/>
            <w:bottom w:val="none" w:sz="0" w:space="0" w:color="auto"/>
            <w:right w:val="none" w:sz="0" w:space="0" w:color="auto"/>
          </w:divBdr>
        </w:div>
      </w:divsChild>
    </w:div>
    <w:div w:id="1243106775">
      <w:bodyDiv w:val="1"/>
      <w:marLeft w:val="0"/>
      <w:marRight w:val="0"/>
      <w:marTop w:val="0"/>
      <w:marBottom w:val="0"/>
      <w:divBdr>
        <w:top w:val="none" w:sz="0" w:space="0" w:color="auto"/>
        <w:left w:val="none" w:sz="0" w:space="0" w:color="auto"/>
        <w:bottom w:val="none" w:sz="0" w:space="0" w:color="auto"/>
        <w:right w:val="none" w:sz="0" w:space="0" w:color="auto"/>
      </w:divBdr>
      <w:divsChild>
        <w:div w:id="2089112617">
          <w:marLeft w:val="360"/>
          <w:marRight w:val="0"/>
          <w:marTop w:val="200"/>
          <w:marBottom w:val="0"/>
          <w:divBdr>
            <w:top w:val="none" w:sz="0" w:space="0" w:color="auto"/>
            <w:left w:val="none" w:sz="0" w:space="0" w:color="auto"/>
            <w:bottom w:val="none" w:sz="0" w:space="0" w:color="auto"/>
            <w:right w:val="none" w:sz="0" w:space="0" w:color="auto"/>
          </w:divBdr>
        </w:div>
      </w:divsChild>
    </w:div>
    <w:div w:id="1429811629">
      <w:bodyDiv w:val="1"/>
      <w:marLeft w:val="0"/>
      <w:marRight w:val="0"/>
      <w:marTop w:val="0"/>
      <w:marBottom w:val="0"/>
      <w:divBdr>
        <w:top w:val="none" w:sz="0" w:space="0" w:color="auto"/>
        <w:left w:val="none" w:sz="0" w:space="0" w:color="auto"/>
        <w:bottom w:val="none" w:sz="0" w:space="0" w:color="auto"/>
        <w:right w:val="none" w:sz="0" w:space="0" w:color="auto"/>
      </w:divBdr>
    </w:div>
    <w:div w:id="1652322620">
      <w:bodyDiv w:val="1"/>
      <w:marLeft w:val="0"/>
      <w:marRight w:val="0"/>
      <w:marTop w:val="0"/>
      <w:marBottom w:val="0"/>
      <w:divBdr>
        <w:top w:val="none" w:sz="0" w:space="0" w:color="auto"/>
        <w:left w:val="none" w:sz="0" w:space="0" w:color="auto"/>
        <w:bottom w:val="none" w:sz="0" w:space="0" w:color="auto"/>
        <w:right w:val="none" w:sz="0" w:space="0" w:color="auto"/>
      </w:divBdr>
      <w:divsChild>
        <w:div w:id="830832226">
          <w:marLeft w:val="0"/>
          <w:marRight w:val="0"/>
          <w:marTop w:val="0"/>
          <w:marBottom w:val="0"/>
          <w:divBdr>
            <w:top w:val="none" w:sz="0" w:space="0" w:color="auto"/>
            <w:left w:val="none" w:sz="0" w:space="0" w:color="auto"/>
            <w:bottom w:val="none" w:sz="0" w:space="0" w:color="auto"/>
            <w:right w:val="none" w:sz="0" w:space="0" w:color="auto"/>
          </w:divBdr>
        </w:div>
        <w:div w:id="598415024">
          <w:marLeft w:val="0"/>
          <w:marRight w:val="0"/>
          <w:marTop w:val="0"/>
          <w:marBottom w:val="0"/>
          <w:divBdr>
            <w:top w:val="none" w:sz="0" w:space="0" w:color="auto"/>
            <w:left w:val="none" w:sz="0" w:space="0" w:color="auto"/>
            <w:bottom w:val="none" w:sz="0" w:space="0" w:color="auto"/>
            <w:right w:val="none" w:sz="0" w:space="0" w:color="auto"/>
          </w:divBdr>
        </w:div>
        <w:div w:id="1611666893">
          <w:marLeft w:val="0"/>
          <w:marRight w:val="0"/>
          <w:marTop w:val="0"/>
          <w:marBottom w:val="0"/>
          <w:divBdr>
            <w:top w:val="none" w:sz="0" w:space="0" w:color="auto"/>
            <w:left w:val="none" w:sz="0" w:space="0" w:color="auto"/>
            <w:bottom w:val="none" w:sz="0" w:space="0" w:color="auto"/>
            <w:right w:val="none" w:sz="0" w:space="0" w:color="auto"/>
          </w:divBdr>
        </w:div>
        <w:div w:id="1750423660">
          <w:marLeft w:val="0"/>
          <w:marRight w:val="0"/>
          <w:marTop w:val="0"/>
          <w:marBottom w:val="0"/>
          <w:divBdr>
            <w:top w:val="none" w:sz="0" w:space="0" w:color="auto"/>
            <w:left w:val="none" w:sz="0" w:space="0" w:color="auto"/>
            <w:bottom w:val="none" w:sz="0" w:space="0" w:color="auto"/>
            <w:right w:val="none" w:sz="0" w:space="0" w:color="auto"/>
          </w:divBdr>
        </w:div>
        <w:div w:id="1451586016">
          <w:marLeft w:val="0"/>
          <w:marRight w:val="0"/>
          <w:marTop w:val="0"/>
          <w:marBottom w:val="0"/>
          <w:divBdr>
            <w:top w:val="none" w:sz="0" w:space="0" w:color="auto"/>
            <w:left w:val="none" w:sz="0" w:space="0" w:color="auto"/>
            <w:bottom w:val="none" w:sz="0" w:space="0" w:color="auto"/>
            <w:right w:val="none" w:sz="0" w:space="0" w:color="auto"/>
          </w:divBdr>
        </w:div>
        <w:div w:id="723528795">
          <w:marLeft w:val="0"/>
          <w:marRight w:val="0"/>
          <w:marTop w:val="0"/>
          <w:marBottom w:val="0"/>
          <w:divBdr>
            <w:top w:val="none" w:sz="0" w:space="0" w:color="auto"/>
            <w:left w:val="none" w:sz="0" w:space="0" w:color="auto"/>
            <w:bottom w:val="none" w:sz="0" w:space="0" w:color="auto"/>
            <w:right w:val="none" w:sz="0" w:space="0" w:color="auto"/>
          </w:divBdr>
        </w:div>
        <w:div w:id="969944645">
          <w:marLeft w:val="0"/>
          <w:marRight w:val="0"/>
          <w:marTop w:val="0"/>
          <w:marBottom w:val="0"/>
          <w:divBdr>
            <w:top w:val="none" w:sz="0" w:space="0" w:color="auto"/>
            <w:left w:val="none" w:sz="0" w:space="0" w:color="auto"/>
            <w:bottom w:val="none" w:sz="0" w:space="0" w:color="auto"/>
            <w:right w:val="none" w:sz="0" w:space="0" w:color="auto"/>
          </w:divBdr>
        </w:div>
        <w:div w:id="1321815473">
          <w:marLeft w:val="0"/>
          <w:marRight w:val="0"/>
          <w:marTop w:val="0"/>
          <w:marBottom w:val="0"/>
          <w:divBdr>
            <w:top w:val="none" w:sz="0" w:space="0" w:color="auto"/>
            <w:left w:val="none" w:sz="0" w:space="0" w:color="auto"/>
            <w:bottom w:val="none" w:sz="0" w:space="0" w:color="auto"/>
            <w:right w:val="none" w:sz="0" w:space="0" w:color="auto"/>
          </w:divBdr>
        </w:div>
        <w:div w:id="535002095">
          <w:marLeft w:val="0"/>
          <w:marRight w:val="0"/>
          <w:marTop w:val="0"/>
          <w:marBottom w:val="0"/>
          <w:divBdr>
            <w:top w:val="none" w:sz="0" w:space="0" w:color="auto"/>
            <w:left w:val="none" w:sz="0" w:space="0" w:color="auto"/>
            <w:bottom w:val="none" w:sz="0" w:space="0" w:color="auto"/>
            <w:right w:val="none" w:sz="0" w:space="0" w:color="auto"/>
          </w:divBdr>
        </w:div>
        <w:div w:id="923148165">
          <w:marLeft w:val="0"/>
          <w:marRight w:val="0"/>
          <w:marTop w:val="0"/>
          <w:marBottom w:val="0"/>
          <w:divBdr>
            <w:top w:val="none" w:sz="0" w:space="0" w:color="auto"/>
            <w:left w:val="none" w:sz="0" w:space="0" w:color="auto"/>
            <w:bottom w:val="none" w:sz="0" w:space="0" w:color="auto"/>
            <w:right w:val="none" w:sz="0" w:space="0" w:color="auto"/>
          </w:divBdr>
        </w:div>
        <w:div w:id="800684753">
          <w:marLeft w:val="0"/>
          <w:marRight w:val="0"/>
          <w:marTop w:val="0"/>
          <w:marBottom w:val="0"/>
          <w:divBdr>
            <w:top w:val="none" w:sz="0" w:space="0" w:color="auto"/>
            <w:left w:val="none" w:sz="0" w:space="0" w:color="auto"/>
            <w:bottom w:val="none" w:sz="0" w:space="0" w:color="auto"/>
            <w:right w:val="none" w:sz="0" w:space="0" w:color="auto"/>
          </w:divBdr>
        </w:div>
        <w:div w:id="1832407427">
          <w:marLeft w:val="0"/>
          <w:marRight w:val="0"/>
          <w:marTop w:val="0"/>
          <w:marBottom w:val="0"/>
          <w:divBdr>
            <w:top w:val="none" w:sz="0" w:space="0" w:color="auto"/>
            <w:left w:val="none" w:sz="0" w:space="0" w:color="auto"/>
            <w:bottom w:val="none" w:sz="0" w:space="0" w:color="auto"/>
            <w:right w:val="none" w:sz="0" w:space="0" w:color="auto"/>
          </w:divBdr>
        </w:div>
        <w:div w:id="757408770">
          <w:marLeft w:val="0"/>
          <w:marRight w:val="0"/>
          <w:marTop w:val="0"/>
          <w:marBottom w:val="0"/>
          <w:divBdr>
            <w:top w:val="none" w:sz="0" w:space="0" w:color="auto"/>
            <w:left w:val="none" w:sz="0" w:space="0" w:color="auto"/>
            <w:bottom w:val="none" w:sz="0" w:space="0" w:color="auto"/>
            <w:right w:val="none" w:sz="0" w:space="0" w:color="auto"/>
          </w:divBdr>
        </w:div>
        <w:div w:id="91439775">
          <w:marLeft w:val="0"/>
          <w:marRight w:val="0"/>
          <w:marTop w:val="0"/>
          <w:marBottom w:val="0"/>
          <w:divBdr>
            <w:top w:val="none" w:sz="0" w:space="0" w:color="auto"/>
            <w:left w:val="none" w:sz="0" w:space="0" w:color="auto"/>
            <w:bottom w:val="none" w:sz="0" w:space="0" w:color="auto"/>
            <w:right w:val="none" w:sz="0" w:space="0" w:color="auto"/>
          </w:divBdr>
        </w:div>
        <w:div w:id="1818262558">
          <w:marLeft w:val="0"/>
          <w:marRight w:val="0"/>
          <w:marTop w:val="0"/>
          <w:marBottom w:val="0"/>
          <w:divBdr>
            <w:top w:val="none" w:sz="0" w:space="0" w:color="auto"/>
            <w:left w:val="none" w:sz="0" w:space="0" w:color="auto"/>
            <w:bottom w:val="none" w:sz="0" w:space="0" w:color="auto"/>
            <w:right w:val="none" w:sz="0" w:space="0" w:color="auto"/>
          </w:divBdr>
        </w:div>
        <w:div w:id="975842213">
          <w:marLeft w:val="0"/>
          <w:marRight w:val="0"/>
          <w:marTop w:val="0"/>
          <w:marBottom w:val="0"/>
          <w:divBdr>
            <w:top w:val="none" w:sz="0" w:space="0" w:color="auto"/>
            <w:left w:val="none" w:sz="0" w:space="0" w:color="auto"/>
            <w:bottom w:val="none" w:sz="0" w:space="0" w:color="auto"/>
            <w:right w:val="none" w:sz="0" w:space="0" w:color="auto"/>
          </w:divBdr>
        </w:div>
        <w:div w:id="1802990678">
          <w:marLeft w:val="0"/>
          <w:marRight w:val="0"/>
          <w:marTop w:val="0"/>
          <w:marBottom w:val="0"/>
          <w:divBdr>
            <w:top w:val="none" w:sz="0" w:space="0" w:color="auto"/>
            <w:left w:val="none" w:sz="0" w:space="0" w:color="auto"/>
            <w:bottom w:val="none" w:sz="0" w:space="0" w:color="auto"/>
            <w:right w:val="none" w:sz="0" w:space="0" w:color="auto"/>
          </w:divBdr>
        </w:div>
        <w:div w:id="844633499">
          <w:marLeft w:val="0"/>
          <w:marRight w:val="0"/>
          <w:marTop w:val="0"/>
          <w:marBottom w:val="0"/>
          <w:divBdr>
            <w:top w:val="none" w:sz="0" w:space="0" w:color="auto"/>
            <w:left w:val="none" w:sz="0" w:space="0" w:color="auto"/>
            <w:bottom w:val="none" w:sz="0" w:space="0" w:color="auto"/>
            <w:right w:val="none" w:sz="0" w:space="0" w:color="auto"/>
          </w:divBdr>
        </w:div>
        <w:div w:id="1523860939">
          <w:marLeft w:val="0"/>
          <w:marRight w:val="0"/>
          <w:marTop w:val="0"/>
          <w:marBottom w:val="0"/>
          <w:divBdr>
            <w:top w:val="none" w:sz="0" w:space="0" w:color="auto"/>
            <w:left w:val="none" w:sz="0" w:space="0" w:color="auto"/>
            <w:bottom w:val="none" w:sz="0" w:space="0" w:color="auto"/>
            <w:right w:val="none" w:sz="0" w:space="0" w:color="auto"/>
          </w:divBdr>
        </w:div>
        <w:div w:id="705328661">
          <w:marLeft w:val="0"/>
          <w:marRight w:val="0"/>
          <w:marTop w:val="0"/>
          <w:marBottom w:val="0"/>
          <w:divBdr>
            <w:top w:val="none" w:sz="0" w:space="0" w:color="auto"/>
            <w:left w:val="none" w:sz="0" w:space="0" w:color="auto"/>
            <w:bottom w:val="none" w:sz="0" w:space="0" w:color="auto"/>
            <w:right w:val="none" w:sz="0" w:space="0" w:color="auto"/>
          </w:divBdr>
        </w:div>
        <w:div w:id="641470745">
          <w:marLeft w:val="0"/>
          <w:marRight w:val="0"/>
          <w:marTop w:val="0"/>
          <w:marBottom w:val="0"/>
          <w:divBdr>
            <w:top w:val="none" w:sz="0" w:space="0" w:color="auto"/>
            <w:left w:val="none" w:sz="0" w:space="0" w:color="auto"/>
            <w:bottom w:val="none" w:sz="0" w:space="0" w:color="auto"/>
            <w:right w:val="none" w:sz="0" w:space="0" w:color="auto"/>
          </w:divBdr>
        </w:div>
        <w:div w:id="1953123163">
          <w:marLeft w:val="0"/>
          <w:marRight w:val="0"/>
          <w:marTop w:val="0"/>
          <w:marBottom w:val="0"/>
          <w:divBdr>
            <w:top w:val="none" w:sz="0" w:space="0" w:color="auto"/>
            <w:left w:val="none" w:sz="0" w:space="0" w:color="auto"/>
            <w:bottom w:val="none" w:sz="0" w:space="0" w:color="auto"/>
            <w:right w:val="none" w:sz="0" w:space="0" w:color="auto"/>
          </w:divBdr>
        </w:div>
        <w:div w:id="272903070">
          <w:marLeft w:val="0"/>
          <w:marRight w:val="0"/>
          <w:marTop w:val="0"/>
          <w:marBottom w:val="0"/>
          <w:divBdr>
            <w:top w:val="none" w:sz="0" w:space="0" w:color="auto"/>
            <w:left w:val="none" w:sz="0" w:space="0" w:color="auto"/>
            <w:bottom w:val="none" w:sz="0" w:space="0" w:color="auto"/>
            <w:right w:val="none" w:sz="0" w:space="0" w:color="auto"/>
          </w:divBdr>
        </w:div>
        <w:div w:id="1545945511">
          <w:marLeft w:val="0"/>
          <w:marRight w:val="0"/>
          <w:marTop w:val="0"/>
          <w:marBottom w:val="0"/>
          <w:divBdr>
            <w:top w:val="none" w:sz="0" w:space="0" w:color="auto"/>
            <w:left w:val="none" w:sz="0" w:space="0" w:color="auto"/>
            <w:bottom w:val="none" w:sz="0" w:space="0" w:color="auto"/>
            <w:right w:val="none" w:sz="0" w:space="0" w:color="auto"/>
          </w:divBdr>
        </w:div>
      </w:divsChild>
    </w:div>
    <w:div w:id="1662150745">
      <w:bodyDiv w:val="1"/>
      <w:marLeft w:val="0"/>
      <w:marRight w:val="0"/>
      <w:marTop w:val="0"/>
      <w:marBottom w:val="0"/>
      <w:divBdr>
        <w:top w:val="none" w:sz="0" w:space="0" w:color="auto"/>
        <w:left w:val="none" w:sz="0" w:space="0" w:color="auto"/>
        <w:bottom w:val="none" w:sz="0" w:space="0" w:color="auto"/>
        <w:right w:val="none" w:sz="0" w:space="0" w:color="auto"/>
      </w:divBdr>
      <w:divsChild>
        <w:div w:id="721254401">
          <w:marLeft w:val="360"/>
          <w:marRight w:val="0"/>
          <w:marTop w:val="200"/>
          <w:marBottom w:val="0"/>
          <w:divBdr>
            <w:top w:val="none" w:sz="0" w:space="0" w:color="auto"/>
            <w:left w:val="none" w:sz="0" w:space="0" w:color="auto"/>
            <w:bottom w:val="none" w:sz="0" w:space="0" w:color="auto"/>
            <w:right w:val="none" w:sz="0" w:space="0" w:color="auto"/>
          </w:divBdr>
        </w:div>
      </w:divsChild>
    </w:div>
    <w:div w:id="191281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s://www.bbc.co.uk/news/amp/health-48367071" TargetMode="External"/><Relationship Id="rId39" Type="http://schemas.openxmlformats.org/officeDocument/2006/relationships/hyperlink" Target="http://wp.lancs.ac.uk/cedr" TargetMode="External"/><Relationship Id="rId3" Type="http://schemas.openxmlformats.org/officeDocument/2006/relationships/styles" Target="styles.xml"/><Relationship Id="rId21" Type="http://schemas.openxmlformats.org/officeDocument/2006/relationships/hyperlink" Target="https://www.legislation.gov.uk/ukpga/2005/9/contents"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england.nhs.uk/wp-content/uploads/2015/10/ld-nat-imp-plan-oct15.pdf" TargetMode="External"/><Relationship Id="rId33" Type="http://schemas.microsoft.com/office/2014/relationships/chartEx" Target="charts/chartEx1.xml"/><Relationship Id="rId38"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legislation.gov.uk/ukpga/1983/20/contents" TargetMode="External"/><Relationship Id="rId29" Type="http://schemas.openxmlformats.org/officeDocument/2006/relationships/hyperlink" Target="https://www.england.nhs.uk/long-term-pla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ngland.nhs.uk/wp-content/uploads/2014/11/transforming-commissioning-services.pdf"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gov.uk/government/uploads/system/uploads/attachment_data/file/213217/Concordat.pdf" TargetMode="External"/><Relationship Id="rId28" Type="http://schemas.openxmlformats.org/officeDocument/2006/relationships/hyperlink" Target="https://www.cqc.org.uk/publications/themed-work/interim-report-review-restraint-prolonged-seclusion-segregation-people" TargetMode="External"/><Relationship Id="rId36"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hyperlink" Target="http://www.bbc.co.uk/programmes/b011pwt6" TargetMode="Externa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t.ly/InpatientAdmissions" TargetMode="External"/><Relationship Id="rId22" Type="http://schemas.openxmlformats.org/officeDocument/2006/relationships/hyperlink" Target="https://www.gov.uk/government/uploads/system/uploads/attachment_data/file/213215/final-report.pdf" TargetMode="External"/><Relationship Id="rId27" Type="http://schemas.openxmlformats.org/officeDocument/2006/relationships/hyperlink" Target="http://www.bristol.ac.uk/sps/leder/resources/annual-reports/" TargetMode="External"/><Relationship Id="rId30" Type="http://schemas.openxmlformats.org/officeDocument/2006/relationships/chart" Target="charts/chart1.xml"/><Relationship Id="rId35" Type="http://schemas.openxmlformats.org/officeDocument/2006/relationships/chart" Target="charts/chart3.xml"/></Relationships>
</file>

<file path=word/_rels/footer3.xml.rels><?xml version="1.0" encoding="UTF-8" standalone="yes"?>
<Relationships xmlns="http://schemas.openxmlformats.org/package/2006/relationships"><Relationship Id="rId1" Type="http://schemas.openxmlformats.org/officeDocument/2006/relationships/image" Target="media/image3.tif"/></Relationships>
</file>

<file path=word/_rels/footnotes.xml.rels><?xml version="1.0" encoding="UTF-8" standalone="yes"?>
<Relationships xmlns="http://schemas.openxmlformats.org/package/2006/relationships"><Relationship Id="rId8" Type="http://schemas.openxmlformats.org/officeDocument/2006/relationships/hyperlink" Target="https://www.nao.org.uk/report/care-services-for-people-with-learning-disabilities-and-challenging-behaviour/" TargetMode="External"/><Relationship Id="rId13" Type="http://schemas.openxmlformats.org/officeDocument/2006/relationships/hyperlink" Target="https://www.longtermplan.nhs.uk/wp-content/uploads/2019/01/nhs-long-term-plan.pdf" TargetMode="External"/><Relationship Id="rId18" Type="http://schemas.openxmlformats.org/officeDocument/2006/relationships/hyperlink" Target="https://digital.nhs.uk/data-and-information/publications/statistical/learning-disability-services-statistics/learning-disability-statistics-annual-overview-england-2015-2016" TargetMode="External"/><Relationship Id="rId26" Type="http://schemas.openxmlformats.org/officeDocument/2006/relationships/hyperlink" Target="https://www.england.nhs.uk/wp-content/uploads/2015/10/ld-nat-imp-plan-oct15.pdf" TargetMode="External"/><Relationship Id="rId3" Type="http://schemas.openxmlformats.org/officeDocument/2006/relationships/hyperlink" Target="https://www.nao.org.uk/wp-content/uploads/2017/03/Local-support-for-people-with-a-learning-disability.pdf" TargetMode="External"/><Relationship Id="rId21" Type="http://schemas.openxmlformats.org/officeDocument/2006/relationships/hyperlink" Target="https://www.emeraldinsight.com/doi/abs/10.1108/TLDR-02-2017-0010" TargetMode="External"/><Relationship Id="rId7" Type="http://schemas.openxmlformats.org/officeDocument/2006/relationships/hyperlink" Target="https://webarchive.nationalarchives.gov.uk/20130124041359/http://www.dh.gov.uk/prod_consum_dh/groups/dh_digitalassets/@dh/@en/documents/digitalasset/dh_080128.pdf" TargetMode="External"/><Relationship Id="rId12" Type="http://schemas.openxmlformats.org/officeDocument/2006/relationships/hyperlink" Target="https://www.nao.org.uk/wp-content/uploads/2017/03/Local-support-for-people-with-a-learning-disability.pdf" TargetMode="External"/><Relationship Id="rId17" Type="http://schemas.openxmlformats.org/officeDocument/2006/relationships/hyperlink" Target="https://publications.parliament.uk/pa/cm201617/cmselect/cmpubacc/1038/103805.htm" TargetMode="External"/><Relationship Id="rId25" Type="http://schemas.openxmlformats.org/officeDocument/2006/relationships/hyperlink" Target="https://www.ons.gov.uk/peoplepopulationandcommunity/populationandmigration/populationestimates/articles/overviewoftheukpopulation/july2017" TargetMode="External"/><Relationship Id="rId2" Type="http://schemas.openxmlformats.org/officeDocument/2006/relationships/hyperlink" Target="https://digital.nhs.uk/data-and-information/publications/statistical/adult-social-care-activity-and-finance-report/2017-18" TargetMode="External"/><Relationship Id="rId16" Type="http://schemas.openxmlformats.org/officeDocument/2006/relationships/hyperlink" Target="https://www.england.nhs.uk/learning-disabilities/care/ctr/" TargetMode="External"/><Relationship Id="rId20" Type="http://schemas.openxmlformats.org/officeDocument/2006/relationships/hyperlink" Target="https://digital.nhs.uk/data-and-information/publications/statistical/learning-disability-services-statistics/provisional-statistics-at-january-2019-mhsds-november-2018-final" TargetMode="External"/><Relationship Id="rId1" Type="http://schemas.openxmlformats.org/officeDocument/2006/relationships/hyperlink" Target="https://www.gov.uk/government/publications/people-with-learning-disabilities-in-england-2015" TargetMode="External"/><Relationship Id="rId6" Type="http://schemas.openxmlformats.org/officeDocument/2006/relationships/hyperlink" Target="http://wp.lancs.ac.uk/cedr/7daysofaction2017/" TargetMode="External"/><Relationship Id="rId11" Type="http://schemas.openxmlformats.org/officeDocument/2006/relationships/hyperlink" Target="https://www.england.nhs.uk/learning-disabilities/tcp/" TargetMode="External"/><Relationship Id="rId24" Type="http://schemas.openxmlformats.org/officeDocument/2006/relationships/hyperlink" Target="https://www.england.nhs.uk/statistics/statistical-work-areas/bed-availability-and-occupancy/bed-data-overnight/" TargetMode="External"/><Relationship Id="rId5" Type="http://schemas.openxmlformats.org/officeDocument/2006/relationships/hyperlink" Target="http://wp.lancs.ac.uk/cedr/files/2016/10/7_day_report_digital-1.pdf" TargetMode="External"/><Relationship Id="rId15" Type="http://schemas.openxmlformats.org/officeDocument/2006/relationships/hyperlink" Target="https://www.england.nhs.uk/learningdisabilities/wp-content/uploads/sites/34/2016/01/finance-qas.pdf" TargetMode="External"/><Relationship Id="rId23" Type="http://schemas.openxmlformats.org/officeDocument/2006/relationships/hyperlink" Target="https://www.england.nhs.uk/statistics/statistical-work-areas/bed-availability-and-occupancy/" TargetMode="External"/><Relationship Id="rId28" Type="http://schemas.openxmlformats.org/officeDocument/2006/relationships/hyperlink" Target="https://www.cqc.org.uk/file/258838" TargetMode="External"/><Relationship Id="rId10" Type="http://schemas.openxmlformats.org/officeDocument/2006/relationships/hyperlink" Target="https://www.england.nhs.uk/learning-disabilities/care/" TargetMode="External"/><Relationship Id="rId19" Type="http://schemas.openxmlformats.org/officeDocument/2006/relationships/hyperlink" Target="https://digital.nhs.uk/data-and-information/data-collections-and-data-sets/data-sets/mental-health-services-data-set/mental-health-and-learning-disabilities-statistics-mhlds-monthly-reports" TargetMode="External"/><Relationship Id="rId4" Type="http://schemas.openxmlformats.org/officeDocument/2006/relationships/hyperlink" Target="https://www.emeraldinsight.com/doi/full/10.1108/TLDR-02-2017-0010" TargetMode="External"/><Relationship Id="rId9" Type="http://schemas.openxmlformats.org/officeDocument/2006/relationships/hyperlink" Target="https://www.england.nhs.uk/wp-content/uploads/2015/10/ld-nat-imp-plan-oct15.pdf" TargetMode="External"/><Relationship Id="rId14" Type="http://schemas.openxmlformats.org/officeDocument/2006/relationships/hyperlink" Target="https://www.england.nhs.uk/wp-content/uploads/2015/10/service-model-291015.pdf" TargetMode="External"/><Relationship Id="rId22" Type="http://schemas.openxmlformats.org/officeDocument/2006/relationships/hyperlink" Target="https://www.emeraldinsight.com/doi/full/10.1108/TLDR-02-2017-0010" TargetMode="External"/><Relationship Id="rId27" Type="http://schemas.openxmlformats.org/officeDocument/2006/relationships/hyperlink" Target="http://wp.lancs.ac.uk/cedr/files/2016/10/7_day_report_digital-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aine\Dropbox\Phd\Transforming%20Care\AT%20and%20NHSDS%20Track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aine\Dropbox\Phd\Transforming%20Care\analysis\Messing%20around%20with%207daysofaction%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aine\Downloads\Beds-Time-Series-&#8211;-1987-88-to-2009-10-XLS-34K.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aine\Dropbox\Phd\Transforming%20Care\analysis\CeDR%20Paper2\NHSE%20LD%20beds%202010%20to%202019.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Elaine\Downloads\MHSDS%20Monthly%20November%202018%20LDA%20CSV%20(3).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Number AT</c:v>
                </c:pt>
              </c:strCache>
            </c:strRef>
          </c:tx>
          <c:spPr>
            <a:ln w="28575" cap="rnd">
              <a:solidFill>
                <a:schemeClr val="accent1"/>
              </a:solidFill>
              <a:round/>
            </a:ln>
            <a:effectLst/>
          </c:spPr>
          <c:marker>
            <c:symbol val="none"/>
          </c:marker>
          <c:cat>
            <c:numRef>
              <c:f>Sheet2!$A$2:$A$47</c:f>
              <c:numCache>
                <c:formatCode>mmm\-yy</c:formatCode>
                <c:ptCount val="46"/>
                <c:pt idx="0">
                  <c:v>42064</c:v>
                </c:pt>
                <c:pt idx="1">
                  <c:v>42095</c:v>
                </c:pt>
                <c:pt idx="2">
                  <c:v>42125</c:v>
                </c:pt>
                <c:pt idx="3">
                  <c:v>42156</c:v>
                </c:pt>
                <c:pt idx="4">
                  <c:v>42186</c:v>
                </c:pt>
                <c:pt idx="5">
                  <c:v>42217</c:v>
                </c:pt>
                <c:pt idx="6">
                  <c:v>42248</c:v>
                </c:pt>
                <c:pt idx="7">
                  <c:v>42278</c:v>
                </c:pt>
                <c:pt idx="8">
                  <c:v>42309</c:v>
                </c:pt>
                <c:pt idx="9">
                  <c:v>42339</c:v>
                </c:pt>
                <c:pt idx="10">
                  <c:v>42370</c:v>
                </c:pt>
                <c:pt idx="11">
                  <c:v>42401</c:v>
                </c:pt>
                <c:pt idx="12">
                  <c:v>42430</c:v>
                </c:pt>
                <c:pt idx="13">
                  <c:v>42461</c:v>
                </c:pt>
                <c:pt idx="14">
                  <c:v>42491</c:v>
                </c:pt>
                <c:pt idx="15">
                  <c:v>42522</c:v>
                </c:pt>
                <c:pt idx="16">
                  <c:v>42552</c:v>
                </c:pt>
                <c:pt idx="17">
                  <c:v>42583</c:v>
                </c:pt>
                <c:pt idx="18">
                  <c:v>42614</c:v>
                </c:pt>
                <c:pt idx="19">
                  <c:v>42644</c:v>
                </c:pt>
                <c:pt idx="20">
                  <c:v>42675</c:v>
                </c:pt>
                <c:pt idx="21">
                  <c:v>42705</c:v>
                </c:pt>
                <c:pt idx="22">
                  <c:v>42736</c:v>
                </c:pt>
                <c:pt idx="23">
                  <c:v>42767</c:v>
                </c:pt>
                <c:pt idx="24">
                  <c:v>42795</c:v>
                </c:pt>
                <c:pt idx="25">
                  <c:v>42826</c:v>
                </c:pt>
                <c:pt idx="26">
                  <c:v>42856</c:v>
                </c:pt>
                <c:pt idx="27">
                  <c:v>42887</c:v>
                </c:pt>
                <c:pt idx="28">
                  <c:v>42917</c:v>
                </c:pt>
                <c:pt idx="29">
                  <c:v>42948</c:v>
                </c:pt>
                <c:pt idx="30">
                  <c:v>42979</c:v>
                </c:pt>
                <c:pt idx="31">
                  <c:v>43009</c:v>
                </c:pt>
                <c:pt idx="32">
                  <c:v>43040</c:v>
                </c:pt>
                <c:pt idx="33">
                  <c:v>43070</c:v>
                </c:pt>
                <c:pt idx="34">
                  <c:v>43101</c:v>
                </c:pt>
                <c:pt idx="35">
                  <c:v>43132</c:v>
                </c:pt>
                <c:pt idx="36">
                  <c:v>43160</c:v>
                </c:pt>
                <c:pt idx="37">
                  <c:v>43191</c:v>
                </c:pt>
                <c:pt idx="38">
                  <c:v>43221</c:v>
                </c:pt>
                <c:pt idx="39">
                  <c:v>43252</c:v>
                </c:pt>
                <c:pt idx="40">
                  <c:v>43282</c:v>
                </c:pt>
                <c:pt idx="41">
                  <c:v>43313</c:v>
                </c:pt>
                <c:pt idx="42">
                  <c:v>43344</c:v>
                </c:pt>
                <c:pt idx="43">
                  <c:v>43374</c:v>
                </c:pt>
                <c:pt idx="44">
                  <c:v>43405</c:v>
                </c:pt>
                <c:pt idx="45">
                  <c:v>43435</c:v>
                </c:pt>
              </c:numCache>
            </c:numRef>
          </c:cat>
          <c:val>
            <c:numRef>
              <c:f>Sheet2!$B$2:$B$47</c:f>
              <c:numCache>
                <c:formatCode>General</c:formatCode>
                <c:ptCount val="46"/>
                <c:pt idx="0">
                  <c:v>1675</c:v>
                </c:pt>
                <c:pt idx="1">
                  <c:v>2395</c:v>
                </c:pt>
                <c:pt idx="2">
                  <c:v>2475</c:v>
                </c:pt>
                <c:pt idx="3">
                  <c:v>2510</c:v>
                </c:pt>
                <c:pt idx="4">
                  <c:v>2565</c:v>
                </c:pt>
                <c:pt idx="5">
                  <c:v>2600</c:v>
                </c:pt>
                <c:pt idx="6">
                  <c:v>2595</c:v>
                </c:pt>
                <c:pt idx="7">
                  <c:v>2620</c:v>
                </c:pt>
                <c:pt idx="8">
                  <c:v>2565</c:v>
                </c:pt>
                <c:pt idx="9">
                  <c:v>2595</c:v>
                </c:pt>
                <c:pt idx="10">
                  <c:v>2575</c:v>
                </c:pt>
                <c:pt idx="11">
                  <c:v>2570</c:v>
                </c:pt>
                <c:pt idx="12">
                  <c:v>2610</c:v>
                </c:pt>
                <c:pt idx="13">
                  <c:v>2565</c:v>
                </c:pt>
                <c:pt idx="14">
                  <c:v>2575</c:v>
                </c:pt>
                <c:pt idx="16">
                  <c:v>2520</c:v>
                </c:pt>
                <c:pt idx="17">
                  <c:v>2540</c:v>
                </c:pt>
                <c:pt idx="18">
                  <c:v>2565</c:v>
                </c:pt>
                <c:pt idx="19">
                  <c:v>2550</c:v>
                </c:pt>
                <c:pt idx="20">
                  <c:v>2520</c:v>
                </c:pt>
                <c:pt idx="21">
                  <c:v>2510</c:v>
                </c:pt>
                <c:pt idx="22">
                  <c:v>2530</c:v>
                </c:pt>
                <c:pt idx="23">
                  <c:v>2520</c:v>
                </c:pt>
                <c:pt idx="24">
                  <c:v>2490</c:v>
                </c:pt>
                <c:pt idx="25">
                  <c:v>2480</c:v>
                </c:pt>
                <c:pt idx="26">
                  <c:v>2500</c:v>
                </c:pt>
                <c:pt idx="27">
                  <c:v>2460</c:v>
                </c:pt>
                <c:pt idx="28">
                  <c:v>2445</c:v>
                </c:pt>
                <c:pt idx="29">
                  <c:v>2460</c:v>
                </c:pt>
                <c:pt idx="30">
                  <c:v>2445</c:v>
                </c:pt>
                <c:pt idx="31">
                  <c:v>2445</c:v>
                </c:pt>
                <c:pt idx="32">
                  <c:v>2465</c:v>
                </c:pt>
                <c:pt idx="33">
                  <c:v>2475</c:v>
                </c:pt>
                <c:pt idx="34">
                  <c:v>2465</c:v>
                </c:pt>
                <c:pt idx="35">
                  <c:v>2415</c:v>
                </c:pt>
                <c:pt idx="36">
                  <c:v>2415</c:v>
                </c:pt>
                <c:pt idx="37">
                  <c:v>2370</c:v>
                </c:pt>
                <c:pt idx="38">
                  <c:v>2400</c:v>
                </c:pt>
                <c:pt idx="39">
                  <c:v>2405</c:v>
                </c:pt>
                <c:pt idx="40">
                  <c:v>2380</c:v>
                </c:pt>
                <c:pt idx="41">
                  <c:v>2375</c:v>
                </c:pt>
                <c:pt idx="42">
                  <c:v>2315</c:v>
                </c:pt>
                <c:pt idx="43">
                  <c:v>2350</c:v>
                </c:pt>
                <c:pt idx="44">
                  <c:v>2325</c:v>
                </c:pt>
                <c:pt idx="45">
                  <c:v>2325</c:v>
                </c:pt>
              </c:numCache>
            </c:numRef>
          </c:val>
          <c:smooth val="0"/>
          <c:extLst>
            <c:ext xmlns:c16="http://schemas.microsoft.com/office/drawing/2014/chart" uri="{C3380CC4-5D6E-409C-BE32-E72D297353CC}">
              <c16:uniqueId val="{00000000-94D7-489F-8D60-E35C09C24EC6}"/>
            </c:ext>
          </c:extLst>
        </c:ser>
        <c:ser>
          <c:idx val="1"/>
          <c:order val="1"/>
          <c:tx>
            <c:strRef>
              <c:f>Sheet2!$C$1</c:f>
              <c:strCache>
                <c:ptCount val="1"/>
                <c:pt idx="0">
                  <c:v>Number MHSDS</c:v>
                </c:pt>
              </c:strCache>
            </c:strRef>
          </c:tx>
          <c:spPr>
            <a:ln w="28575" cap="rnd">
              <a:solidFill>
                <a:schemeClr val="accent2"/>
              </a:solidFill>
              <a:round/>
            </a:ln>
            <a:effectLst/>
          </c:spPr>
          <c:marker>
            <c:symbol val="none"/>
          </c:marker>
          <c:cat>
            <c:numRef>
              <c:f>Sheet2!$A$2:$A$47</c:f>
              <c:numCache>
                <c:formatCode>mmm\-yy</c:formatCode>
                <c:ptCount val="46"/>
                <c:pt idx="0">
                  <c:v>42064</c:v>
                </c:pt>
                <c:pt idx="1">
                  <c:v>42095</c:v>
                </c:pt>
                <c:pt idx="2">
                  <c:v>42125</c:v>
                </c:pt>
                <c:pt idx="3">
                  <c:v>42156</c:v>
                </c:pt>
                <c:pt idx="4">
                  <c:v>42186</c:v>
                </c:pt>
                <c:pt idx="5">
                  <c:v>42217</c:v>
                </c:pt>
                <c:pt idx="6">
                  <c:v>42248</c:v>
                </c:pt>
                <c:pt idx="7">
                  <c:v>42278</c:v>
                </c:pt>
                <c:pt idx="8">
                  <c:v>42309</c:v>
                </c:pt>
                <c:pt idx="9">
                  <c:v>42339</c:v>
                </c:pt>
                <c:pt idx="10">
                  <c:v>42370</c:v>
                </c:pt>
                <c:pt idx="11">
                  <c:v>42401</c:v>
                </c:pt>
                <c:pt idx="12">
                  <c:v>42430</c:v>
                </c:pt>
                <c:pt idx="13">
                  <c:v>42461</c:v>
                </c:pt>
                <c:pt idx="14">
                  <c:v>42491</c:v>
                </c:pt>
                <c:pt idx="15">
                  <c:v>42522</c:v>
                </c:pt>
                <c:pt idx="16">
                  <c:v>42552</c:v>
                </c:pt>
                <c:pt idx="17">
                  <c:v>42583</c:v>
                </c:pt>
                <c:pt idx="18">
                  <c:v>42614</c:v>
                </c:pt>
                <c:pt idx="19">
                  <c:v>42644</c:v>
                </c:pt>
                <c:pt idx="20">
                  <c:v>42675</c:v>
                </c:pt>
                <c:pt idx="21">
                  <c:v>42705</c:v>
                </c:pt>
                <c:pt idx="22">
                  <c:v>42736</c:v>
                </c:pt>
                <c:pt idx="23">
                  <c:v>42767</c:v>
                </c:pt>
                <c:pt idx="24">
                  <c:v>42795</c:v>
                </c:pt>
                <c:pt idx="25">
                  <c:v>42826</c:v>
                </c:pt>
                <c:pt idx="26">
                  <c:v>42856</c:v>
                </c:pt>
                <c:pt idx="27">
                  <c:v>42887</c:v>
                </c:pt>
                <c:pt idx="28">
                  <c:v>42917</c:v>
                </c:pt>
                <c:pt idx="29">
                  <c:v>42948</c:v>
                </c:pt>
                <c:pt idx="30">
                  <c:v>42979</c:v>
                </c:pt>
                <c:pt idx="31">
                  <c:v>43009</c:v>
                </c:pt>
                <c:pt idx="32">
                  <c:v>43040</c:v>
                </c:pt>
                <c:pt idx="33">
                  <c:v>43070</c:v>
                </c:pt>
                <c:pt idx="34">
                  <c:v>43101</c:v>
                </c:pt>
                <c:pt idx="35">
                  <c:v>43132</c:v>
                </c:pt>
                <c:pt idx="36">
                  <c:v>43160</c:v>
                </c:pt>
                <c:pt idx="37">
                  <c:v>43191</c:v>
                </c:pt>
                <c:pt idx="38">
                  <c:v>43221</c:v>
                </c:pt>
                <c:pt idx="39">
                  <c:v>43252</c:v>
                </c:pt>
                <c:pt idx="40">
                  <c:v>43282</c:v>
                </c:pt>
                <c:pt idx="41">
                  <c:v>43313</c:v>
                </c:pt>
                <c:pt idx="42">
                  <c:v>43344</c:v>
                </c:pt>
                <c:pt idx="43">
                  <c:v>43374</c:v>
                </c:pt>
                <c:pt idx="44">
                  <c:v>43405</c:v>
                </c:pt>
                <c:pt idx="45">
                  <c:v>43435</c:v>
                </c:pt>
              </c:numCache>
            </c:numRef>
          </c:cat>
          <c:val>
            <c:numRef>
              <c:f>Sheet2!$C$2:$C$47</c:f>
              <c:numCache>
                <c:formatCode>General</c:formatCode>
                <c:ptCount val="46"/>
                <c:pt idx="0">
                  <c:v>0</c:v>
                </c:pt>
                <c:pt idx="35">
                  <c:v>3535</c:v>
                </c:pt>
                <c:pt idx="36">
                  <c:v>3540</c:v>
                </c:pt>
                <c:pt idx="37">
                  <c:v>3135</c:v>
                </c:pt>
                <c:pt idx="38">
                  <c:v>3625</c:v>
                </c:pt>
                <c:pt idx="39">
                  <c:v>3635</c:v>
                </c:pt>
                <c:pt idx="40">
                  <c:v>3625</c:v>
                </c:pt>
                <c:pt idx="41">
                  <c:v>3685</c:v>
                </c:pt>
                <c:pt idx="42">
                  <c:v>3700</c:v>
                </c:pt>
                <c:pt idx="43">
                  <c:v>3575</c:v>
                </c:pt>
              </c:numCache>
            </c:numRef>
          </c:val>
          <c:smooth val="0"/>
          <c:extLst>
            <c:ext xmlns:c16="http://schemas.microsoft.com/office/drawing/2014/chart" uri="{C3380CC4-5D6E-409C-BE32-E72D297353CC}">
              <c16:uniqueId val="{00000001-94D7-489F-8D60-E35C09C24EC6}"/>
            </c:ext>
          </c:extLst>
        </c:ser>
        <c:dLbls>
          <c:showLegendKey val="0"/>
          <c:showVal val="0"/>
          <c:showCatName val="0"/>
          <c:showSerName val="0"/>
          <c:showPercent val="0"/>
          <c:showBubbleSize val="0"/>
        </c:dLbls>
        <c:smooth val="0"/>
        <c:axId val="175424640"/>
        <c:axId val="175426176"/>
      </c:lineChart>
      <c:dateAx>
        <c:axId val="1754246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75426176"/>
        <c:crosses val="autoZero"/>
        <c:auto val="1"/>
        <c:lblOffset val="100"/>
        <c:baseTimeUnit val="months"/>
      </c:dateAx>
      <c:valAx>
        <c:axId val="17542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542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Sheet1!$D$54</c:f>
              <c:strCache>
                <c:ptCount val="1"/>
                <c:pt idx="0">
                  <c:v>CCG Total per million 2016</c:v>
                </c:pt>
              </c:strCache>
            </c:strRef>
          </c:tx>
          <c:spPr>
            <a:solidFill>
              <a:schemeClr val="accent1"/>
            </a:solidFill>
            <a:ln>
              <a:noFill/>
            </a:ln>
            <a:effectLst/>
          </c:spPr>
          <c:invertIfNegative val="0"/>
          <c:cat>
            <c:strRef>
              <c:f>Sheet1!$E$53:$AZ$53</c:f>
              <c:strCache>
                <c:ptCount val="48"/>
                <c:pt idx="0">
                  <c:v>Lancashire</c:v>
                </c:pt>
                <c:pt idx="1">
                  <c:v>Black Country</c:v>
                </c:pt>
                <c:pt idx="2">
                  <c:v>NE&amp;Cumbria</c:v>
                </c:pt>
                <c:pt idx="3">
                  <c:v>Birmingham</c:v>
                </c:pt>
                <c:pt idx="4">
                  <c:v>SDRL (SYorks)</c:v>
                </c:pt>
                <c:pt idx="5">
                  <c:v>Staffordshire</c:v>
                </c:pt>
                <c:pt idx="6">
                  <c:v>Notts</c:v>
                </c:pt>
                <c:pt idx="7">
                  <c:v>NCLondon</c:v>
                </c:pt>
                <c:pt idx="8">
                  <c:v>Humber</c:v>
                </c:pt>
                <c:pt idx="9">
                  <c:v>Lincolnshire</c:v>
                </c:pt>
                <c:pt idx="10">
                  <c:v>Shropshire</c:v>
                </c:pt>
                <c:pt idx="11">
                  <c:v>Derbyshire</c:v>
                </c:pt>
                <c:pt idx="12">
                  <c:v>Cheshire&amp;Mersey</c:v>
                </c:pt>
                <c:pt idx="13">
                  <c:v>Leeds</c:v>
                </c:pt>
                <c:pt idx="14">
                  <c:v>Leicestershire</c:v>
                </c:pt>
                <c:pt idx="15">
                  <c:v>Suffolk</c:v>
                </c:pt>
                <c:pt idx="16">
                  <c:v>CKWB</c:v>
                </c:pt>
                <c:pt idx="17">
                  <c:v>Geater Man</c:v>
                </c:pt>
                <c:pt idx="18">
                  <c:v>Arden</c:v>
                </c:pt>
                <c:pt idx="19">
                  <c:v>Berkshire</c:v>
                </c:pt>
                <c:pt idx="20">
                  <c:v>Kent&amp;Medway</c:v>
                </c:pt>
                <c:pt idx="21">
                  <c:v>Bradford</c:v>
                </c:pt>
                <c:pt idx="22">
                  <c:v>Norfolk</c:v>
                </c:pt>
                <c:pt idx="23">
                  <c:v>SELondon</c:v>
                </c:pt>
                <c:pt idx="24">
                  <c:v>Herts</c:v>
                </c:pt>
                <c:pt idx="25">
                  <c:v>Essex</c:v>
                </c:pt>
                <c:pt idx="26">
                  <c:v>Nyorks</c:v>
                </c:pt>
                <c:pt idx="27">
                  <c:v>Herefordshire</c:v>
                </c:pt>
                <c:pt idx="28">
                  <c:v>Bristol</c:v>
                </c:pt>
                <c:pt idx="29">
                  <c:v>OuterNELon</c:v>
                </c:pt>
                <c:pt idx="30">
                  <c:v>BLMK</c:v>
                </c:pt>
                <c:pt idx="31">
                  <c:v>Devon</c:v>
                </c:pt>
                <c:pt idx="32">
                  <c:v>SHIP Hants&amp;IOW</c:v>
                </c:pt>
                <c:pt idx="33">
                  <c:v>Sussex</c:v>
                </c:pt>
                <c:pt idx="34">
                  <c:v>SWLon</c:v>
                </c:pt>
                <c:pt idx="35">
                  <c:v>Worcester</c:v>
                </c:pt>
                <c:pt idx="36">
                  <c:v>NWLondon</c:v>
                </c:pt>
                <c:pt idx="37">
                  <c:v>Gloucestershire</c:v>
                </c:pt>
                <c:pt idx="38">
                  <c:v>Buckinghamshire</c:v>
                </c:pt>
                <c:pt idx="39">
                  <c:v>Northants</c:v>
                </c:pt>
                <c:pt idx="40">
                  <c:v>Cambs&amp;Peterbr</c:v>
                </c:pt>
                <c:pt idx="41">
                  <c:v>Inner NE Lon</c:v>
                </c:pt>
                <c:pt idx="42">
                  <c:v>Dorset</c:v>
                </c:pt>
                <c:pt idx="43">
                  <c:v>Oxfordshire</c:v>
                </c:pt>
                <c:pt idx="44">
                  <c:v>Surrey</c:v>
                </c:pt>
                <c:pt idx="45">
                  <c:v>Cornwall</c:v>
                </c:pt>
                <c:pt idx="46">
                  <c:v>Somerset</c:v>
                </c:pt>
                <c:pt idx="47">
                  <c:v>Swindon&amp;Wiltshire</c:v>
                </c:pt>
              </c:strCache>
            </c:strRef>
          </c:cat>
          <c:val>
            <c:numRef>
              <c:f>Sheet1!$E$54:$AZ$54</c:f>
              <c:numCache>
                <c:formatCode>General</c:formatCode>
                <c:ptCount val="48"/>
                <c:pt idx="0">
                  <c:v>38</c:v>
                </c:pt>
                <c:pt idx="1">
                  <c:v>30</c:v>
                </c:pt>
                <c:pt idx="2">
                  <c:v>34</c:v>
                </c:pt>
                <c:pt idx="3">
                  <c:v>26</c:v>
                </c:pt>
                <c:pt idx="4">
                  <c:v>46</c:v>
                </c:pt>
                <c:pt idx="5">
                  <c:v>37</c:v>
                </c:pt>
                <c:pt idx="6">
                  <c:v>33</c:v>
                </c:pt>
                <c:pt idx="7">
                  <c:v>38</c:v>
                </c:pt>
                <c:pt idx="8">
                  <c:v>30</c:v>
                </c:pt>
                <c:pt idx="9">
                  <c:v>36</c:v>
                </c:pt>
                <c:pt idx="10">
                  <c:v>18</c:v>
                </c:pt>
                <c:pt idx="11">
                  <c:v>30</c:v>
                </c:pt>
                <c:pt idx="12">
                  <c:v>37</c:v>
                </c:pt>
                <c:pt idx="13">
                  <c:v>27</c:v>
                </c:pt>
                <c:pt idx="14">
                  <c:v>27</c:v>
                </c:pt>
                <c:pt idx="15">
                  <c:v>55</c:v>
                </c:pt>
                <c:pt idx="16">
                  <c:v>38</c:v>
                </c:pt>
                <c:pt idx="17">
                  <c:v>31</c:v>
                </c:pt>
                <c:pt idx="18">
                  <c:v>16</c:v>
                </c:pt>
                <c:pt idx="19">
                  <c:v>37</c:v>
                </c:pt>
                <c:pt idx="20">
                  <c:v>17</c:v>
                </c:pt>
                <c:pt idx="21">
                  <c:v>18</c:v>
                </c:pt>
                <c:pt idx="22">
                  <c:v>31</c:v>
                </c:pt>
                <c:pt idx="23">
                  <c:v>25</c:v>
                </c:pt>
                <c:pt idx="24">
                  <c:v>35</c:v>
                </c:pt>
                <c:pt idx="25">
                  <c:v>30</c:v>
                </c:pt>
                <c:pt idx="26">
                  <c:v>25</c:v>
                </c:pt>
                <c:pt idx="27">
                  <c:v>40</c:v>
                </c:pt>
                <c:pt idx="28">
                  <c:v>23</c:v>
                </c:pt>
                <c:pt idx="29">
                  <c:v>29</c:v>
                </c:pt>
                <c:pt idx="30">
                  <c:v>27</c:v>
                </c:pt>
                <c:pt idx="31">
                  <c:v>21</c:v>
                </c:pt>
                <c:pt idx="32">
                  <c:v>15</c:v>
                </c:pt>
                <c:pt idx="33">
                  <c:v>17</c:v>
                </c:pt>
                <c:pt idx="34">
                  <c:v>14</c:v>
                </c:pt>
                <c:pt idx="35">
                  <c:v>9</c:v>
                </c:pt>
                <c:pt idx="36">
                  <c:v>26</c:v>
                </c:pt>
                <c:pt idx="37">
                  <c:v>16</c:v>
                </c:pt>
                <c:pt idx="38">
                  <c:v>21</c:v>
                </c:pt>
                <c:pt idx="39">
                  <c:v>11</c:v>
                </c:pt>
                <c:pt idx="40">
                  <c:v>11</c:v>
                </c:pt>
                <c:pt idx="41">
                  <c:v>6</c:v>
                </c:pt>
                <c:pt idx="42">
                  <c:v>19</c:v>
                </c:pt>
                <c:pt idx="43">
                  <c:v>11</c:v>
                </c:pt>
                <c:pt idx="44">
                  <c:v>12</c:v>
                </c:pt>
                <c:pt idx="45">
                  <c:v>20</c:v>
                </c:pt>
                <c:pt idx="46">
                  <c:v>7</c:v>
                </c:pt>
                <c:pt idx="47">
                  <c:v>4</c:v>
                </c:pt>
              </c:numCache>
            </c:numRef>
          </c:val>
          <c:extLst>
            <c:ext xmlns:c16="http://schemas.microsoft.com/office/drawing/2014/chart" uri="{C3380CC4-5D6E-409C-BE32-E72D297353CC}">
              <c16:uniqueId val="{00000000-832C-4EB1-9BBD-49D1C05600B2}"/>
            </c:ext>
          </c:extLst>
        </c:ser>
        <c:ser>
          <c:idx val="1"/>
          <c:order val="1"/>
          <c:tx>
            <c:strRef>
              <c:f>Sheet1!$D$55</c:f>
              <c:strCache>
                <c:ptCount val="1"/>
                <c:pt idx="0">
                  <c:v>CCG Total per million 2019</c:v>
                </c:pt>
              </c:strCache>
            </c:strRef>
          </c:tx>
          <c:spPr>
            <a:solidFill>
              <a:schemeClr val="accent2"/>
            </a:solidFill>
            <a:ln>
              <a:noFill/>
            </a:ln>
            <a:effectLst/>
          </c:spPr>
          <c:invertIfNegative val="0"/>
          <c:cat>
            <c:strRef>
              <c:f>Sheet1!$E$53:$AZ$53</c:f>
              <c:strCache>
                <c:ptCount val="48"/>
                <c:pt idx="0">
                  <c:v>Lancashire</c:v>
                </c:pt>
                <c:pt idx="1">
                  <c:v>Black Country</c:v>
                </c:pt>
                <c:pt idx="2">
                  <c:v>NE&amp;Cumbria</c:v>
                </c:pt>
                <c:pt idx="3">
                  <c:v>Birmingham</c:v>
                </c:pt>
                <c:pt idx="4">
                  <c:v>SDRL (SYorks)</c:v>
                </c:pt>
                <c:pt idx="5">
                  <c:v>Staffordshire</c:v>
                </c:pt>
                <c:pt idx="6">
                  <c:v>Notts</c:v>
                </c:pt>
                <c:pt idx="7">
                  <c:v>NCLondon</c:v>
                </c:pt>
                <c:pt idx="8">
                  <c:v>Humber</c:v>
                </c:pt>
                <c:pt idx="9">
                  <c:v>Lincolnshire</c:v>
                </c:pt>
                <c:pt idx="10">
                  <c:v>Shropshire</c:v>
                </c:pt>
                <c:pt idx="11">
                  <c:v>Derbyshire</c:v>
                </c:pt>
                <c:pt idx="12">
                  <c:v>Cheshire&amp;Mersey</c:v>
                </c:pt>
                <c:pt idx="13">
                  <c:v>Leeds</c:v>
                </c:pt>
                <c:pt idx="14">
                  <c:v>Leicestershire</c:v>
                </c:pt>
                <c:pt idx="15">
                  <c:v>Suffolk</c:v>
                </c:pt>
                <c:pt idx="16">
                  <c:v>CKWB</c:v>
                </c:pt>
                <c:pt idx="17">
                  <c:v>Geater Man</c:v>
                </c:pt>
                <c:pt idx="18">
                  <c:v>Arden</c:v>
                </c:pt>
                <c:pt idx="19">
                  <c:v>Berkshire</c:v>
                </c:pt>
                <c:pt idx="20">
                  <c:v>Kent&amp;Medway</c:v>
                </c:pt>
                <c:pt idx="21">
                  <c:v>Bradford</c:v>
                </c:pt>
                <c:pt idx="22">
                  <c:v>Norfolk</c:v>
                </c:pt>
                <c:pt idx="23">
                  <c:v>SELondon</c:v>
                </c:pt>
                <c:pt idx="24">
                  <c:v>Herts</c:v>
                </c:pt>
                <c:pt idx="25">
                  <c:v>Essex</c:v>
                </c:pt>
                <c:pt idx="26">
                  <c:v>Nyorks</c:v>
                </c:pt>
                <c:pt idx="27">
                  <c:v>Herefordshire</c:v>
                </c:pt>
                <c:pt idx="28">
                  <c:v>Bristol</c:v>
                </c:pt>
                <c:pt idx="29">
                  <c:v>OuterNELon</c:v>
                </c:pt>
                <c:pt idx="30">
                  <c:v>BLMK</c:v>
                </c:pt>
                <c:pt idx="31">
                  <c:v>Devon</c:v>
                </c:pt>
                <c:pt idx="32">
                  <c:v>SHIP Hants&amp;IOW</c:v>
                </c:pt>
                <c:pt idx="33">
                  <c:v>Sussex</c:v>
                </c:pt>
                <c:pt idx="34">
                  <c:v>SWLon</c:v>
                </c:pt>
                <c:pt idx="35">
                  <c:v>Worcester</c:v>
                </c:pt>
                <c:pt idx="36">
                  <c:v>NWLondon</c:v>
                </c:pt>
                <c:pt idx="37">
                  <c:v>Gloucestershire</c:v>
                </c:pt>
                <c:pt idx="38">
                  <c:v>Buckinghamshire</c:v>
                </c:pt>
                <c:pt idx="39">
                  <c:v>Northants</c:v>
                </c:pt>
                <c:pt idx="40">
                  <c:v>Cambs&amp;Peterbr</c:v>
                </c:pt>
                <c:pt idx="41">
                  <c:v>Inner NE Lon</c:v>
                </c:pt>
                <c:pt idx="42">
                  <c:v>Dorset</c:v>
                </c:pt>
                <c:pt idx="43">
                  <c:v>Oxfordshire</c:v>
                </c:pt>
                <c:pt idx="44">
                  <c:v>Surrey</c:v>
                </c:pt>
                <c:pt idx="45">
                  <c:v>Cornwall</c:v>
                </c:pt>
                <c:pt idx="46">
                  <c:v>Somerset</c:v>
                </c:pt>
                <c:pt idx="47">
                  <c:v>Swindon&amp;Wiltshire</c:v>
                </c:pt>
              </c:strCache>
            </c:strRef>
          </c:cat>
          <c:val>
            <c:numRef>
              <c:f>Sheet1!$E$55:$AZ$55</c:f>
              <c:numCache>
                <c:formatCode>General</c:formatCode>
                <c:ptCount val="48"/>
                <c:pt idx="0">
                  <c:v>12</c:v>
                </c:pt>
                <c:pt idx="1">
                  <c:v>13</c:v>
                </c:pt>
                <c:pt idx="2">
                  <c:v>18</c:v>
                </c:pt>
                <c:pt idx="3">
                  <c:v>14</c:v>
                </c:pt>
                <c:pt idx="4">
                  <c:v>14</c:v>
                </c:pt>
                <c:pt idx="5">
                  <c:v>14</c:v>
                </c:pt>
                <c:pt idx="6">
                  <c:v>14</c:v>
                </c:pt>
                <c:pt idx="7">
                  <c:v>14</c:v>
                </c:pt>
                <c:pt idx="8">
                  <c:v>15</c:v>
                </c:pt>
                <c:pt idx="9">
                  <c:v>15</c:v>
                </c:pt>
                <c:pt idx="10">
                  <c:v>13</c:v>
                </c:pt>
                <c:pt idx="11">
                  <c:v>15</c:v>
                </c:pt>
                <c:pt idx="12">
                  <c:v>15</c:v>
                </c:pt>
                <c:pt idx="13">
                  <c:v>13</c:v>
                </c:pt>
                <c:pt idx="14">
                  <c:v>14</c:v>
                </c:pt>
                <c:pt idx="15">
                  <c:v>14</c:v>
                </c:pt>
                <c:pt idx="16">
                  <c:v>15</c:v>
                </c:pt>
                <c:pt idx="17">
                  <c:v>13</c:v>
                </c:pt>
                <c:pt idx="18">
                  <c:v>15</c:v>
                </c:pt>
                <c:pt idx="19">
                  <c:v>15</c:v>
                </c:pt>
                <c:pt idx="20">
                  <c:v>13</c:v>
                </c:pt>
                <c:pt idx="21">
                  <c:v>9</c:v>
                </c:pt>
                <c:pt idx="22">
                  <c:v>14</c:v>
                </c:pt>
                <c:pt idx="23">
                  <c:v>12</c:v>
                </c:pt>
                <c:pt idx="24">
                  <c:v>34</c:v>
                </c:pt>
                <c:pt idx="25">
                  <c:v>15</c:v>
                </c:pt>
                <c:pt idx="26">
                  <c:v>14</c:v>
                </c:pt>
                <c:pt idx="27">
                  <c:v>13</c:v>
                </c:pt>
                <c:pt idx="28">
                  <c:v>15</c:v>
                </c:pt>
                <c:pt idx="29">
                  <c:v>14</c:v>
                </c:pt>
                <c:pt idx="30">
                  <c:v>15</c:v>
                </c:pt>
                <c:pt idx="31">
                  <c:v>13</c:v>
                </c:pt>
                <c:pt idx="32">
                  <c:v>9</c:v>
                </c:pt>
                <c:pt idx="33">
                  <c:v>14</c:v>
                </c:pt>
                <c:pt idx="34">
                  <c:v>9</c:v>
                </c:pt>
                <c:pt idx="35">
                  <c:v>4</c:v>
                </c:pt>
                <c:pt idx="36">
                  <c:v>12</c:v>
                </c:pt>
                <c:pt idx="37">
                  <c:v>4</c:v>
                </c:pt>
                <c:pt idx="38">
                  <c:v>14</c:v>
                </c:pt>
                <c:pt idx="39">
                  <c:v>14</c:v>
                </c:pt>
                <c:pt idx="40">
                  <c:v>14</c:v>
                </c:pt>
                <c:pt idx="41">
                  <c:v>3</c:v>
                </c:pt>
                <c:pt idx="42">
                  <c:v>9</c:v>
                </c:pt>
                <c:pt idx="43">
                  <c:v>11</c:v>
                </c:pt>
                <c:pt idx="44">
                  <c:v>8</c:v>
                </c:pt>
                <c:pt idx="45">
                  <c:v>4</c:v>
                </c:pt>
                <c:pt idx="46">
                  <c:v>4</c:v>
                </c:pt>
                <c:pt idx="47">
                  <c:v>4</c:v>
                </c:pt>
              </c:numCache>
            </c:numRef>
          </c:val>
          <c:extLst>
            <c:ext xmlns:c16="http://schemas.microsoft.com/office/drawing/2014/chart" uri="{C3380CC4-5D6E-409C-BE32-E72D297353CC}">
              <c16:uniqueId val="{00000001-832C-4EB1-9BBD-49D1C05600B2}"/>
            </c:ext>
          </c:extLst>
        </c:ser>
        <c:dLbls>
          <c:showLegendKey val="0"/>
          <c:showVal val="0"/>
          <c:showCatName val="0"/>
          <c:showSerName val="0"/>
          <c:showPercent val="0"/>
          <c:showBubbleSize val="0"/>
        </c:dLbls>
        <c:gapWidth val="247"/>
        <c:axId val="175267840"/>
        <c:axId val="175270144"/>
      </c:barChart>
      <c:lineChart>
        <c:grouping val="standard"/>
        <c:varyColors val="0"/>
        <c:ser>
          <c:idx val="2"/>
          <c:order val="2"/>
          <c:tx>
            <c:strRef>
              <c:f>Sheet1!$D$56</c:f>
              <c:strCache>
                <c:ptCount val="1"/>
                <c:pt idx="0">
                  <c:v>Projected percentage change</c:v>
                </c:pt>
              </c:strCache>
            </c:strRef>
          </c:tx>
          <c:spPr>
            <a:ln w="28575" cap="rnd">
              <a:solidFill>
                <a:schemeClr val="accent3"/>
              </a:solidFill>
              <a:round/>
            </a:ln>
            <a:effectLst/>
          </c:spPr>
          <c:marker>
            <c:symbol val="none"/>
          </c:marker>
          <c:cat>
            <c:strRef>
              <c:f>Sheet1!$E$53:$AZ$53</c:f>
              <c:strCache>
                <c:ptCount val="48"/>
                <c:pt idx="0">
                  <c:v>Lancashire</c:v>
                </c:pt>
                <c:pt idx="1">
                  <c:v>Black Country</c:v>
                </c:pt>
                <c:pt idx="2">
                  <c:v>NE&amp;Cumbria</c:v>
                </c:pt>
                <c:pt idx="3">
                  <c:v>Birmingham</c:v>
                </c:pt>
                <c:pt idx="4">
                  <c:v>SDRL (SYorks)</c:v>
                </c:pt>
                <c:pt idx="5">
                  <c:v>Staffordshire</c:v>
                </c:pt>
                <c:pt idx="6">
                  <c:v>Notts</c:v>
                </c:pt>
                <c:pt idx="7">
                  <c:v>NCLondon</c:v>
                </c:pt>
                <c:pt idx="8">
                  <c:v>Humber</c:v>
                </c:pt>
                <c:pt idx="9">
                  <c:v>Lincolnshire</c:v>
                </c:pt>
                <c:pt idx="10">
                  <c:v>Shropshire</c:v>
                </c:pt>
                <c:pt idx="11">
                  <c:v>Derbyshire</c:v>
                </c:pt>
                <c:pt idx="12">
                  <c:v>Cheshire&amp;Mersey</c:v>
                </c:pt>
                <c:pt idx="13">
                  <c:v>Leeds</c:v>
                </c:pt>
                <c:pt idx="14">
                  <c:v>Leicestershire</c:v>
                </c:pt>
                <c:pt idx="15">
                  <c:v>Suffolk</c:v>
                </c:pt>
                <c:pt idx="16">
                  <c:v>CKWB</c:v>
                </c:pt>
                <c:pt idx="17">
                  <c:v>Geater Man</c:v>
                </c:pt>
                <c:pt idx="18">
                  <c:v>Arden</c:v>
                </c:pt>
                <c:pt idx="19">
                  <c:v>Berkshire</c:v>
                </c:pt>
                <c:pt idx="20">
                  <c:v>Kent&amp;Medway</c:v>
                </c:pt>
                <c:pt idx="21">
                  <c:v>Bradford</c:v>
                </c:pt>
                <c:pt idx="22">
                  <c:v>Norfolk</c:v>
                </c:pt>
                <c:pt idx="23">
                  <c:v>SELondon</c:v>
                </c:pt>
                <c:pt idx="24">
                  <c:v>Herts</c:v>
                </c:pt>
                <c:pt idx="25">
                  <c:v>Essex</c:v>
                </c:pt>
                <c:pt idx="26">
                  <c:v>Nyorks</c:v>
                </c:pt>
                <c:pt idx="27">
                  <c:v>Herefordshire</c:v>
                </c:pt>
                <c:pt idx="28">
                  <c:v>Bristol</c:v>
                </c:pt>
                <c:pt idx="29">
                  <c:v>OuterNELon</c:v>
                </c:pt>
                <c:pt idx="30">
                  <c:v>BLMK</c:v>
                </c:pt>
                <c:pt idx="31">
                  <c:v>Devon</c:v>
                </c:pt>
                <c:pt idx="32">
                  <c:v>SHIP Hants&amp;IOW</c:v>
                </c:pt>
                <c:pt idx="33">
                  <c:v>Sussex</c:v>
                </c:pt>
                <c:pt idx="34">
                  <c:v>SWLon</c:v>
                </c:pt>
                <c:pt idx="35">
                  <c:v>Worcester</c:v>
                </c:pt>
                <c:pt idx="36">
                  <c:v>NWLondon</c:v>
                </c:pt>
                <c:pt idx="37">
                  <c:v>Gloucestershire</c:v>
                </c:pt>
                <c:pt idx="38">
                  <c:v>Buckinghamshire</c:v>
                </c:pt>
                <c:pt idx="39">
                  <c:v>Northants</c:v>
                </c:pt>
                <c:pt idx="40">
                  <c:v>Cambs&amp;Peterbr</c:v>
                </c:pt>
                <c:pt idx="41">
                  <c:v>Inner NE Lon</c:v>
                </c:pt>
                <c:pt idx="42">
                  <c:v>Dorset</c:v>
                </c:pt>
                <c:pt idx="43">
                  <c:v>Oxfordshire</c:v>
                </c:pt>
                <c:pt idx="44">
                  <c:v>Surrey</c:v>
                </c:pt>
                <c:pt idx="45">
                  <c:v>Cornwall</c:v>
                </c:pt>
                <c:pt idx="46">
                  <c:v>Somerset</c:v>
                </c:pt>
                <c:pt idx="47">
                  <c:v>Swindon&amp;Wiltshire</c:v>
                </c:pt>
              </c:strCache>
            </c:strRef>
          </c:cat>
          <c:val>
            <c:numRef>
              <c:f>Sheet1!$E$56:$AZ$56</c:f>
              <c:numCache>
                <c:formatCode>General</c:formatCode>
                <c:ptCount val="48"/>
                <c:pt idx="0">
                  <c:v>68.421052631578945</c:v>
                </c:pt>
                <c:pt idx="1">
                  <c:v>56.666666666666664</c:v>
                </c:pt>
                <c:pt idx="2">
                  <c:v>47.058823529411761</c:v>
                </c:pt>
                <c:pt idx="3">
                  <c:v>46.153846153846153</c:v>
                </c:pt>
                <c:pt idx="4">
                  <c:v>69.565217391304344</c:v>
                </c:pt>
                <c:pt idx="5">
                  <c:v>62.162162162162161</c:v>
                </c:pt>
                <c:pt idx="6">
                  <c:v>57.575757575757578</c:v>
                </c:pt>
                <c:pt idx="7">
                  <c:v>63.157894736842103</c:v>
                </c:pt>
                <c:pt idx="8">
                  <c:v>50</c:v>
                </c:pt>
                <c:pt idx="9">
                  <c:v>58.333333333333336</c:v>
                </c:pt>
                <c:pt idx="10">
                  <c:v>27.777777777777779</c:v>
                </c:pt>
                <c:pt idx="11">
                  <c:v>50</c:v>
                </c:pt>
                <c:pt idx="12">
                  <c:v>59.45945945945946</c:v>
                </c:pt>
                <c:pt idx="13">
                  <c:v>51.851851851851848</c:v>
                </c:pt>
                <c:pt idx="14">
                  <c:v>48.148148148148145</c:v>
                </c:pt>
                <c:pt idx="15">
                  <c:v>74.545454545454547</c:v>
                </c:pt>
                <c:pt idx="16">
                  <c:v>60.526315789473685</c:v>
                </c:pt>
                <c:pt idx="17">
                  <c:v>58.064516129032263</c:v>
                </c:pt>
                <c:pt idx="18">
                  <c:v>6.25</c:v>
                </c:pt>
                <c:pt idx="19">
                  <c:v>59.45945945945946</c:v>
                </c:pt>
                <c:pt idx="20">
                  <c:v>23.52941176470588</c:v>
                </c:pt>
                <c:pt idx="21">
                  <c:v>50</c:v>
                </c:pt>
                <c:pt idx="22">
                  <c:v>54.838709677419352</c:v>
                </c:pt>
                <c:pt idx="23">
                  <c:v>52</c:v>
                </c:pt>
                <c:pt idx="24">
                  <c:v>2.8571428571428572</c:v>
                </c:pt>
                <c:pt idx="25">
                  <c:v>50</c:v>
                </c:pt>
                <c:pt idx="26">
                  <c:v>44</c:v>
                </c:pt>
                <c:pt idx="27">
                  <c:v>67.5</c:v>
                </c:pt>
                <c:pt idx="28">
                  <c:v>34.782608695652172</c:v>
                </c:pt>
                <c:pt idx="29">
                  <c:v>51.724137931034484</c:v>
                </c:pt>
                <c:pt idx="30">
                  <c:v>44.444444444444443</c:v>
                </c:pt>
                <c:pt idx="31">
                  <c:v>38.095238095238095</c:v>
                </c:pt>
                <c:pt idx="32">
                  <c:v>40</c:v>
                </c:pt>
                <c:pt idx="33">
                  <c:v>17.647058823529413</c:v>
                </c:pt>
                <c:pt idx="34">
                  <c:v>35.714285714285715</c:v>
                </c:pt>
                <c:pt idx="35">
                  <c:v>55.555555555555557</c:v>
                </c:pt>
                <c:pt idx="36">
                  <c:v>53.846153846153847</c:v>
                </c:pt>
                <c:pt idx="37">
                  <c:v>75</c:v>
                </c:pt>
                <c:pt idx="38">
                  <c:v>33.333333333333329</c:v>
                </c:pt>
                <c:pt idx="39">
                  <c:v>-27.27272727272727</c:v>
                </c:pt>
                <c:pt idx="40">
                  <c:v>-27.27272727272727</c:v>
                </c:pt>
                <c:pt idx="41">
                  <c:v>50</c:v>
                </c:pt>
                <c:pt idx="42">
                  <c:v>52.631578947368418</c:v>
                </c:pt>
                <c:pt idx="43">
                  <c:v>0</c:v>
                </c:pt>
                <c:pt idx="44">
                  <c:v>33.333333333333329</c:v>
                </c:pt>
                <c:pt idx="45">
                  <c:v>80</c:v>
                </c:pt>
                <c:pt idx="46">
                  <c:v>42.857142857142854</c:v>
                </c:pt>
                <c:pt idx="47">
                  <c:v>0</c:v>
                </c:pt>
              </c:numCache>
            </c:numRef>
          </c:val>
          <c:smooth val="0"/>
          <c:extLst>
            <c:ext xmlns:c16="http://schemas.microsoft.com/office/drawing/2014/chart" uri="{C3380CC4-5D6E-409C-BE32-E72D297353CC}">
              <c16:uniqueId val="{00000002-832C-4EB1-9BBD-49D1C05600B2}"/>
            </c:ext>
          </c:extLst>
        </c:ser>
        <c:dLbls>
          <c:showLegendKey val="0"/>
          <c:showVal val="0"/>
          <c:showCatName val="0"/>
          <c:showSerName val="0"/>
          <c:showPercent val="0"/>
          <c:showBubbleSize val="0"/>
        </c:dLbls>
        <c:marker val="1"/>
        <c:smooth val="0"/>
        <c:axId val="175380736"/>
        <c:axId val="175378816"/>
      </c:lineChart>
      <c:catAx>
        <c:axId val="17526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175270144"/>
        <c:crosses val="autoZero"/>
        <c:auto val="1"/>
        <c:lblAlgn val="ctr"/>
        <c:lblOffset val="100"/>
        <c:noMultiLvlLbl val="0"/>
      </c:catAx>
      <c:valAx>
        <c:axId val="1752701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Number of people in CCG commissioned inpatient services per million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5267840"/>
        <c:crosses val="autoZero"/>
        <c:crossBetween val="between"/>
        <c:majorUnit val="20"/>
      </c:valAx>
      <c:valAx>
        <c:axId val="175378816"/>
        <c:scaling>
          <c:orientation val="minMax"/>
          <c:max val="80"/>
          <c:min val="-20"/>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Projected % change 2016-2019</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5380736"/>
        <c:crosses val="max"/>
        <c:crossBetween val="between"/>
        <c:majorUnit val="20"/>
      </c:valAx>
      <c:catAx>
        <c:axId val="175380736"/>
        <c:scaling>
          <c:orientation val="minMax"/>
        </c:scaling>
        <c:delete val="1"/>
        <c:axPos val="b"/>
        <c:numFmt formatCode="General" sourceLinked="1"/>
        <c:majorTickMark val="none"/>
        <c:minorTickMark val="none"/>
        <c:tickLblPos val="nextTo"/>
        <c:crossAx val="175378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'[Beds-Time-Series-–-1987-88-to-2009-10-XLS-34K.xls]Beds 1987-88 to 2009-10'!$M$5</c:f>
              <c:strCache>
                <c:ptCount val="1"/>
                <c:pt idx="0">
                  <c:v>Learning disability</c:v>
                </c:pt>
              </c:strCache>
            </c:strRef>
          </c:tx>
          <c:spPr>
            <a:solidFill>
              <a:schemeClr val="accent1"/>
            </a:solidFill>
            <a:ln>
              <a:noFill/>
            </a:ln>
            <a:effectLst/>
          </c:spPr>
          <c:invertIfNegative val="0"/>
          <c:trendline>
            <c:trendlineType val="exp"/>
            <c:dispRSqr val="0"/>
            <c:dispEq val="0"/>
          </c:trendline>
          <c:cat>
            <c:strRef>
              <c:f>'[Beds-Time-Series-–-1987-88-to-2009-10-XLS-34K.xls]Beds 1987-88 to 2009-10'!$L$6:$L$34</c:f>
              <c:strCache>
                <c:ptCount val="29"/>
                <c:pt idx="0">
                  <c:v>1987-88</c:v>
                </c:pt>
                <c:pt idx="1">
                  <c:v>1988-89</c:v>
                </c:pt>
                <c:pt idx="2">
                  <c:v>1989-90</c:v>
                </c:pt>
                <c:pt idx="3">
                  <c:v>1990-91</c:v>
                </c:pt>
                <c:pt idx="4">
                  <c:v>1991-92</c:v>
                </c:pt>
                <c:pt idx="5">
                  <c:v>1992-93</c:v>
                </c:pt>
                <c:pt idx="6">
                  <c:v>1993-94</c:v>
                </c:pt>
                <c:pt idx="7">
                  <c:v>1994-95</c:v>
                </c:pt>
                <c:pt idx="8">
                  <c:v>1995-96</c:v>
                </c:pt>
                <c:pt idx="9">
                  <c:v>1996-97</c:v>
                </c:pt>
                <c:pt idx="10">
                  <c:v>1997-98</c:v>
                </c:pt>
                <c:pt idx="11">
                  <c:v>1998-99</c:v>
                </c:pt>
                <c:pt idx="12">
                  <c:v>1999-00</c:v>
                </c:pt>
                <c:pt idx="13">
                  <c:v>2000-01</c:v>
                </c:pt>
                <c:pt idx="14">
                  <c:v>2001-02</c:v>
                </c:pt>
                <c:pt idx="15">
                  <c:v>2002-03</c:v>
                </c:pt>
                <c:pt idx="16">
                  <c:v>2003-04</c:v>
                </c:pt>
                <c:pt idx="17">
                  <c:v>2004-05</c:v>
                </c:pt>
                <c:pt idx="18">
                  <c:v>2005-06</c:v>
                </c:pt>
                <c:pt idx="19">
                  <c:v>2006-07</c:v>
                </c:pt>
                <c:pt idx="20">
                  <c:v>2007-08</c:v>
                </c:pt>
                <c:pt idx="21">
                  <c:v>2008-09</c:v>
                </c:pt>
                <c:pt idx="22">
                  <c:v>2009-10</c:v>
                </c:pt>
                <c:pt idx="23">
                  <c:v>2010-11</c:v>
                </c:pt>
                <c:pt idx="24">
                  <c:v>2011-12</c:v>
                </c:pt>
                <c:pt idx="25">
                  <c:v>2012-13</c:v>
                </c:pt>
                <c:pt idx="26">
                  <c:v>2013-14</c:v>
                </c:pt>
                <c:pt idx="27">
                  <c:v>2014-15</c:v>
                </c:pt>
                <c:pt idx="28">
                  <c:v>2015-16</c:v>
                </c:pt>
              </c:strCache>
            </c:strRef>
          </c:cat>
          <c:val>
            <c:numRef>
              <c:f>'[Beds-Time-Series-–-1987-88-to-2009-10-XLS-34K.xls]Beds 1987-88 to 2009-10'!$M$6:$M$34</c:f>
              <c:numCache>
                <c:formatCode>#,##0</c:formatCode>
                <c:ptCount val="29"/>
                <c:pt idx="0">
                  <c:v>33421</c:v>
                </c:pt>
                <c:pt idx="1">
                  <c:v>30048</c:v>
                </c:pt>
                <c:pt idx="2">
                  <c:v>26406.201808931601</c:v>
                </c:pt>
                <c:pt idx="3">
                  <c:v>23379.372602739699</c:v>
                </c:pt>
                <c:pt idx="4">
                  <c:v>21382.5</c:v>
                </c:pt>
                <c:pt idx="5">
                  <c:v>18518.936986301356</c:v>
                </c:pt>
                <c:pt idx="6">
                  <c:v>16269.452054794521</c:v>
                </c:pt>
                <c:pt idx="7">
                  <c:v>13211.260273972604</c:v>
                </c:pt>
                <c:pt idx="8">
                  <c:v>12676.40710382512</c:v>
                </c:pt>
                <c:pt idx="9">
                  <c:v>9692.6767123287664</c:v>
                </c:pt>
                <c:pt idx="10">
                  <c:v>8196.8712328767124</c:v>
                </c:pt>
                <c:pt idx="11">
                  <c:v>7490.6027397260304</c:v>
                </c:pt>
                <c:pt idx="12">
                  <c:v>6834.2595628415302</c:v>
                </c:pt>
                <c:pt idx="13">
                  <c:v>6316</c:v>
                </c:pt>
                <c:pt idx="14">
                  <c:v>5694.123287671242</c:v>
                </c:pt>
                <c:pt idx="15">
                  <c:v>5037.5589041095973</c:v>
                </c:pt>
                <c:pt idx="16">
                  <c:v>5211.7896174863381</c:v>
                </c:pt>
                <c:pt idx="17">
                  <c:v>4415.178082191781</c:v>
                </c:pt>
                <c:pt idx="18">
                  <c:v>3926.8904109589052</c:v>
                </c:pt>
                <c:pt idx="19">
                  <c:v>3485.9315068493238</c:v>
                </c:pt>
                <c:pt idx="20">
                  <c:v>3147.2896174863367</c:v>
                </c:pt>
                <c:pt idx="21">
                  <c:v>2882.1945205479451</c:v>
                </c:pt>
                <c:pt idx="22">
                  <c:v>2809.3561643835665</c:v>
                </c:pt>
                <c:pt idx="23">
                  <c:v>1974</c:v>
                </c:pt>
                <c:pt idx="24">
                  <c:v>1937</c:v>
                </c:pt>
                <c:pt idx="25">
                  <c:v>1697</c:v>
                </c:pt>
                <c:pt idx="26">
                  <c:v>1671</c:v>
                </c:pt>
                <c:pt idx="27">
                  <c:v>1455</c:v>
                </c:pt>
                <c:pt idx="28">
                  <c:v>1306</c:v>
                </c:pt>
              </c:numCache>
            </c:numRef>
          </c:val>
          <c:extLst>
            <c:ext xmlns:c16="http://schemas.microsoft.com/office/drawing/2014/chart" uri="{C3380CC4-5D6E-409C-BE32-E72D297353CC}">
              <c16:uniqueId val="{00000001-EBF8-48D9-AA6E-CFB96824AD4D}"/>
            </c:ext>
          </c:extLst>
        </c:ser>
        <c:dLbls>
          <c:showLegendKey val="0"/>
          <c:showVal val="0"/>
          <c:showCatName val="0"/>
          <c:showSerName val="0"/>
          <c:showPercent val="0"/>
          <c:showBubbleSize val="0"/>
        </c:dLbls>
        <c:gapWidth val="219"/>
        <c:overlap val="-27"/>
        <c:axId val="175913600"/>
        <c:axId val="175956352"/>
      </c:barChart>
      <c:catAx>
        <c:axId val="175913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956352"/>
        <c:crosses val="autoZero"/>
        <c:auto val="1"/>
        <c:lblAlgn val="ctr"/>
        <c:lblOffset val="100"/>
        <c:noMultiLvlLbl val="0"/>
      </c:catAx>
      <c:valAx>
        <c:axId val="17595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91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Sheet1!$O$1</c:f>
              <c:strCache>
                <c:ptCount val="1"/>
                <c:pt idx="0">
                  <c:v>Available</c:v>
                </c:pt>
              </c:strCache>
            </c:strRef>
          </c:tx>
          <c:spPr>
            <a:solidFill>
              <a:schemeClr val="accent1"/>
            </a:solidFill>
            <a:ln>
              <a:noFill/>
            </a:ln>
            <a:effectLst/>
          </c:spPr>
          <c:invertIfNegative val="0"/>
          <c:cat>
            <c:strRef>
              <c:f>Sheet1!$N$2:$N$12</c:f>
              <c:strCache>
                <c:ptCount val="11"/>
                <c:pt idx="0">
                  <c:v>2016/17 Q1</c:v>
                </c:pt>
                <c:pt idx="1">
                  <c:v>2016/17 Q2</c:v>
                </c:pt>
                <c:pt idx="2">
                  <c:v>2016/17 Q3</c:v>
                </c:pt>
                <c:pt idx="3">
                  <c:v>2016/17 Q4</c:v>
                </c:pt>
                <c:pt idx="4">
                  <c:v>2017/18 Q1</c:v>
                </c:pt>
                <c:pt idx="5">
                  <c:v>2017/18 Q2</c:v>
                </c:pt>
                <c:pt idx="6">
                  <c:v>2017/18 Q3</c:v>
                </c:pt>
                <c:pt idx="7">
                  <c:v>2017/18 Q4</c:v>
                </c:pt>
                <c:pt idx="8">
                  <c:v>2018/19 Q1</c:v>
                </c:pt>
                <c:pt idx="9">
                  <c:v>2018/19 Q2</c:v>
                </c:pt>
                <c:pt idx="10">
                  <c:v>2018/19 Q3</c:v>
                </c:pt>
              </c:strCache>
            </c:strRef>
          </c:cat>
          <c:val>
            <c:numRef>
              <c:f>Sheet1!$O$2:$O$12</c:f>
              <c:numCache>
                <c:formatCode>_-* #,##0_-;\-* #,##0_-;_-* "-"??_-;_-@_-</c:formatCode>
                <c:ptCount val="11"/>
                <c:pt idx="0">
                  <c:v>1247.6153846153845</c:v>
                </c:pt>
                <c:pt idx="1">
                  <c:v>1226.771739130435</c:v>
                </c:pt>
                <c:pt idx="2">
                  <c:v>1190.4673913043478</c:v>
                </c:pt>
                <c:pt idx="3">
                  <c:v>1190.1888888888889</c:v>
                </c:pt>
                <c:pt idx="4">
                  <c:v>1121.4615384615383</c:v>
                </c:pt>
                <c:pt idx="5">
                  <c:v>1089.4456521739132</c:v>
                </c:pt>
                <c:pt idx="6">
                  <c:v>1028.7282608695652</c:v>
                </c:pt>
                <c:pt idx="7">
                  <c:v>1037.2222222222222</c:v>
                </c:pt>
                <c:pt idx="8">
                  <c:v>1077.0109890109891</c:v>
                </c:pt>
                <c:pt idx="9">
                  <c:v>1016.4021739130435</c:v>
                </c:pt>
                <c:pt idx="10">
                  <c:v>997.25</c:v>
                </c:pt>
              </c:numCache>
            </c:numRef>
          </c:val>
          <c:extLst>
            <c:ext xmlns:c16="http://schemas.microsoft.com/office/drawing/2014/chart" uri="{C3380CC4-5D6E-409C-BE32-E72D297353CC}">
              <c16:uniqueId val="{00000000-A155-49E5-924B-CAA6C5E35F85}"/>
            </c:ext>
          </c:extLst>
        </c:ser>
        <c:ser>
          <c:idx val="1"/>
          <c:order val="1"/>
          <c:tx>
            <c:strRef>
              <c:f>Sheet1!$P$1</c:f>
              <c:strCache>
                <c:ptCount val="1"/>
                <c:pt idx="0">
                  <c:v>Occupied</c:v>
                </c:pt>
              </c:strCache>
            </c:strRef>
          </c:tx>
          <c:spPr>
            <a:solidFill>
              <a:schemeClr val="accent2"/>
            </a:solidFill>
            <a:ln>
              <a:noFill/>
            </a:ln>
            <a:effectLst/>
          </c:spPr>
          <c:invertIfNegative val="0"/>
          <c:trendline>
            <c:spPr>
              <a:ln w="25400" cap="rnd">
                <a:solidFill>
                  <a:schemeClr val="tx1"/>
                </a:solidFill>
                <a:prstDash val="solid"/>
              </a:ln>
              <a:effectLst/>
            </c:spPr>
            <c:trendlineType val="exp"/>
            <c:dispRSqr val="0"/>
            <c:dispEq val="0"/>
          </c:trendline>
          <c:cat>
            <c:strRef>
              <c:f>Sheet1!$N$2:$N$12</c:f>
              <c:strCache>
                <c:ptCount val="11"/>
                <c:pt idx="0">
                  <c:v>2016/17 Q1</c:v>
                </c:pt>
                <c:pt idx="1">
                  <c:v>2016/17 Q2</c:v>
                </c:pt>
                <c:pt idx="2">
                  <c:v>2016/17 Q3</c:v>
                </c:pt>
                <c:pt idx="3">
                  <c:v>2016/17 Q4</c:v>
                </c:pt>
                <c:pt idx="4">
                  <c:v>2017/18 Q1</c:v>
                </c:pt>
                <c:pt idx="5">
                  <c:v>2017/18 Q2</c:v>
                </c:pt>
                <c:pt idx="6">
                  <c:v>2017/18 Q3</c:v>
                </c:pt>
                <c:pt idx="7">
                  <c:v>2017/18 Q4</c:v>
                </c:pt>
                <c:pt idx="8">
                  <c:v>2018/19 Q1</c:v>
                </c:pt>
                <c:pt idx="9">
                  <c:v>2018/19 Q2</c:v>
                </c:pt>
                <c:pt idx="10">
                  <c:v>2018/19 Q3</c:v>
                </c:pt>
              </c:strCache>
            </c:strRef>
          </c:cat>
          <c:val>
            <c:numRef>
              <c:f>Sheet1!$P$2:$P$12</c:f>
              <c:numCache>
                <c:formatCode>_-* #,##0_-;\-* #,##0_-;_-* "-"??_-;_-@_-</c:formatCode>
                <c:ptCount val="11"/>
                <c:pt idx="0">
                  <c:v>912.96703296703288</c:v>
                </c:pt>
                <c:pt idx="1">
                  <c:v>885.55434782608711</c:v>
                </c:pt>
                <c:pt idx="2">
                  <c:v>849.92391304347825</c:v>
                </c:pt>
                <c:pt idx="3">
                  <c:v>820.83333333333348</c:v>
                </c:pt>
                <c:pt idx="4">
                  <c:v>802.23076923076917</c:v>
                </c:pt>
                <c:pt idx="5">
                  <c:v>785.98913043478296</c:v>
                </c:pt>
                <c:pt idx="6">
                  <c:v>766.11956521739114</c:v>
                </c:pt>
                <c:pt idx="7">
                  <c:v>755.44444444444468</c:v>
                </c:pt>
                <c:pt idx="8">
                  <c:v>819.46153846153857</c:v>
                </c:pt>
                <c:pt idx="9">
                  <c:v>786.76086956521726</c:v>
                </c:pt>
                <c:pt idx="10">
                  <c:v>766.0978260869565</c:v>
                </c:pt>
              </c:numCache>
            </c:numRef>
          </c:val>
          <c:extLst>
            <c:ext xmlns:c16="http://schemas.microsoft.com/office/drawing/2014/chart" uri="{C3380CC4-5D6E-409C-BE32-E72D297353CC}">
              <c16:uniqueId val="{00000002-A155-49E5-924B-CAA6C5E35F85}"/>
            </c:ext>
          </c:extLst>
        </c:ser>
        <c:dLbls>
          <c:showLegendKey val="0"/>
          <c:showVal val="0"/>
          <c:showCatName val="0"/>
          <c:showSerName val="0"/>
          <c:showPercent val="0"/>
          <c:showBubbleSize val="0"/>
        </c:dLbls>
        <c:gapWidth val="219"/>
        <c:overlap val="-27"/>
        <c:axId val="175801856"/>
        <c:axId val="175803392"/>
      </c:barChart>
      <c:lineChart>
        <c:grouping val="standard"/>
        <c:varyColors val="0"/>
        <c:ser>
          <c:idx val="2"/>
          <c:order val="2"/>
          <c:tx>
            <c:strRef>
              <c:f>Sheet1!$Q$1</c:f>
              <c:strCache>
                <c:ptCount val="1"/>
                <c:pt idx="0">
                  <c:v>% Occupied</c:v>
                </c:pt>
              </c:strCache>
            </c:strRef>
          </c:tx>
          <c:spPr>
            <a:ln w="28575" cap="rnd">
              <a:solidFill>
                <a:schemeClr val="accent3"/>
              </a:solidFill>
              <a:round/>
            </a:ln>
            <a:effectLst/>
          </c:spPr>
          <c:marker>
            <c:symbol val="none"/>
          </c:marker>
          <c:cat>
            <c:strRef>
              <c:f>Sheet1!$N$2:$N$12</c:f>
              <c:strCache>
                <c:ptCount val="11"/>
                <c:pt idx="0">
                  <c:v>2016/17 Q1</c:v>
                </c:pt>
                <c:pt idx="1">
                  <c:v>2016/17 Q2</c:v>
                </c:pt>
                <c:pt idx="2">
                  <c:v>2016/17 Q3</c:v>
                </c:pt>
                <c:pt idx="3">
                  <c:v>2016/17 Q4</c:v>
                </c:pt>
                <c:pt idx="4">
                  <c:v>2017/18 Q1</c:v>
                </c:pt>
                <c:pt idx="5">
                  <c:v>2017/18 Q2</c:v>
                </c:pt>
                <c:pt idx="6">
                  <c:v>2017/18 Q3</c:v>
                </c:pt>
                <c:pt idx="7">
                  <c:v>2017/18 Q4</c:v>
                </c:pt>
                <c:pt idx="8">
                  <c:v>2018/19 Q1</c:v>
                </c:pt>
                <c:pt idx="9">
                  <c:v>2018/19 Q2</c:v>
                </c:pt>
                <c:pt idx="10">
                  <c:v>2018/19 Q3</c:v>
                </c:pt>
              </c:strCache>
            </c:strRef>
          </c:cat>
          <c:val>
            <c:numRef>
              <c:f>Sheet1!$Q$2:$Q$12</c:f>
              <c:numCache>
                <c:formatCode>0.0%</c:formatCode>
                <c:ptCount val="11"/>
                <c:pt idx="0">
                  <c:v>0.73176961764420911</c:v>
                </c:pt>
                <c:pt idx="1">
                  <c:v>0.72185747321974425</c:v>
                </c:pt>
                <c:pt idx="2">
                  <c:v>0.71394136391442897</c:v>
                </c:pt>
                <c:pt idx="3">
                  <c:v>0.68966643950073303</c:v>
                </c:pt>
                <c:pt idx="4">
                  <c:v>0.71090661213360606</c:v>
                </c:pt>
                <c:pt idx="5">
                  <c:v>0.7148958467211739</c:v>
                </c:pt>
                <c:pt idx="6">
                  <c:v>0.73755532999173334</c:v>
                </c:pt>
                <c:pt idx="7">
                  <c:v>0.72833422603106612</c:v>
                </c:pt>
                <c:pt idx="8">
                  <c:v>0.76086645988082613</c:v>
                </c:pt>
                <c:pt idx="9">
                  <c:v>0.77406452854805408</c:v>
                </c:pt>
                <c:pt idx="10">
                  <c:v>0.76821040469988122</c:v>
                </c:pt>
              </c:numCache>
            </c:numRef>
          </c:val>
          <c:smooth val="0"/>
          <c:extLst>
            <c:ext xmlns:c16="http://schemas.microsoft.com/office/drawing/2014/chart" uri="{C3380CC4-5D6E-409C-BE32-E72D297353CC}">
              <c16:uniqueId val="{00000003-A155-49E5-924B-CAA6C5E35F85}"/>
            </c:ext>
          </c:extLst>
        </c:ser>
        <c:dLbls>
          <c:showLegendKey val="0"/>
          <c:showVal val="0"/>
          <c:showCatName val="0"/>
          <c:showSerName val="0"/>
          <c:showPercent val="0"/>
          <c:showBubbleSize val="0"/>
        </c:dLbls>
        <c:marker val="1"/>
        <c:smooth val="0"/>
        <c:axId val="175810816"/>
        <c:axId val="175809280"/>
      </c:lineChart>
      <c:catAx>
        <c:axId val="17580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03392"/>
        <c:crosses val="autoZero"/>
        <c:auto val="1"/>
        <c:lblAlgn val="ctr"/>
        <c:lblOffset val="100"/>
        <c:noMultiLvlLbl val="0"/>
      </c:catAx>
      <c:valAx>
        <c:axId val="1758033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01856"/>
        <c:crosses val="autoZero"/>
        <c:crossBetween val="between"/>
      </c:valAx>
      <c:valAx>
        <c:axId val="17580928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0816"/>
        <c:crosses val="max"/>
        <c:crossBetween val="between"/>
      </c:valAx>
      <c:catAx>
        <c:axId val="175810816"/>
        <c:scaling>
          <c:orientation val="minMax"/>
        </c:scaling>
        <c:delete val="1"/>
        <c:axPos val="b"/>
        <c:numFmt formatCode="General" sourceLinked="1"/>
        <c:majorTickMark val="none"/>
        <c:minorTickMark val="none"/>
        <c:tickLblPos val="nextTo"/>
        <c:crossAx val="175809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Sheet4!$F$76:$P$76</cx:f>
        <cx:lvl ptCount="11">
          <cx:pt idx="0">0-3 days</cx:pt>
          <cx:pt idx="1">4-7 days</cx:pt>
          <cx:pt idx="2">1-2 weeks</cx:pt>
          <cx:pt idx="3">2-4 weeks</cx:pt>
          <cx:pt idx="4">1-3 months</cx:pt>
          <cx:pt idx="5">3-6 months</cx:pt>
          <cx:pt idx="6">6-12 months</cx:pt>
          <cx:pt idx="7">1-2 years</cx:pt>
          <cx:pt idx="8">2-5 years</cx:pt>
          <cx:pt idx="9">5-10 years</cx:pt>
          <cx:pt idx="10">10+ years</cx:pt>
        </cx:lvl>
      </cx:strDim>
      <cx:numDim type="val">
        <cx:f dir="row">Sheet4!$F$77:$P$77</cx:f>
        <cx:lvl ptCount="11" formatCode="General">
          <cx:pt idx="0">65</cx:pt>
          <cx:pt idx="1">15</cx:pt>
          <cx:pt idx="2">40</cx:pt>
          <cx:pt idx="3">50</cx:pt>
          <cx:pt idx="4">250</cx:pt>
          <cx:pt idx="5">215</cx:pt>
          <cx:pt idx="6">235</cx:pt>
          <cx:pt idx="7">265</cx:pt>
          <cx:pt idx="8">340</cx:pt>
          <cx:pt idx="9">155</cx:pt>
          <cx:pt idx="10">115</cx:pt>
        </cx:lvl>
      </cx:numDim>
    </cx:data>
  </cx:chartData>
  <cx:chart>
    <cx:plotArea>
      <cx:plotAreaRegion>
        <cx:series layoutId="funnel" uniqueId="{3D20BE88-7024-4EE0-B5BB-E01BBD0BD7CD}">
          <cx:dataLabels>
            <cx:txPr>
              <a:bodyPr vertOverflow="overflow" horzOverflow="overflow" wrap="square" lIns="0" tIns="0" rIns="0" bIns="0"/>
              <a:lstStyle/>
              <a:p>
                <a:pPr algn="ctr" rtl="0">
                  <a:defRPr sz="1200" b="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GB" sz="1200"/>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1200" b="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GB" sz="1200"/>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BBA90-54A4-4700-9CB5-3260E7FA6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5938</Words>
  <Characters>33849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39708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Hannah</dc:creator>
  <cp:lastModifiedBy>Morgan, Hannah</cp:lastModifiedBy>
  <cp:revision>2</cp:revision>
  <cp:lastPrinted>2019-07-10T09:31:00Z</cp:lastPrinted>
  <dcterms:created xsi:type="dcterms:W3CDTF">2019-07-10T12:25:00Z</dcterms:created>
  <dcterms:modified xsi:type="dcterms:W3CDTF">2019-07-10T12:25:00Z</dcterms:modified>
</cp:coreProperties>
</file>